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72" w:rsidRPr="00246D98" w:rsidRDefault="00F11DEA" w:rsidP="00246D98">
      <w:pPr>
        <w:pStyle w:val="NoSpacing"/>
        <w:jc w:val="center"/>
        <w:rPr>
          <w:b/>
          <w:sz w:val="28"/>
          <w:szCs w:val="28"/>
        </w:rPr>
      </w:pPr>
      <w:r w:rsidRPr="00246D98">
        <w:rPr>
          <w:b/>
          <w:sz w:val="28"/>
          <w:szCs w:val="28"/>
        </w:rPr>
        <w:t>Lighthouse Youth Center-Paint Creek</w:t>
      </w:r>
    </w:p>
    <w:p w:rsidR="00F11DEA" w:rsidRDefault="00246D98" w:rsidP="00246D98">
      <w:pPr>
        <w:pStyle w:val="NoSpacing"/>
        <w:jc w:val="center"/>
        <w:rPr>
          <w:b/>
          <w:sz w:val="28"/>
          <w:szCs w:val="28"/>
        </w:rPr>
      </w:pPr>
      <w:r>
        <w:rPr>
          <w:b/>
          <w:sz w:val="28"/>
          <w:szCs w:val="28"/>
        </w:rPr>
        <w:t>2015-2016</w:t>
      </w:r>
      <w:r w:rsidR="00CA3672" w:rsidRPr="00246D98">
        <w:rPr>
          <w:b/>
          <w:sz w:val="28"/>
          <w:szCs w:val="28"/>
        </w:rPr>
        <w:t xml:space="preserve"> </w:t>
      </w:r>
      <w:r w:rsidR="00F11DEA" w:rsidRPr="00246D98">
        <w:rPr>
          <w:b/>
          <w:sz w:val="28"/>
          <w:szCs w:val="28"/>
        </w:rPr>
        <w:t>PREA Annual Report</w:t>
      </w:r>
    </w:p>
    <w:p w:rsidR="006E6218" w:rsidRPr="00246D98" w:rsidRDefault="006E6218" w:rsidP="00246D98">
      <w:pPr>
        <w:pStyle w:val="NoSpacing"/>
        <w:jc w:val="center"/>
        <w:rPr>
          <w:b/>
          <w:sz w:val="28"/>
          <w:szCs w:val="28"/>
        </w:rPr>
      </w:pPr>
    </w:p>
    <w:tbl>
      <w:tblPr>
        <w:tblStyle w:val="TableGrid"/>
        <w:tblW w:w="8640" w:type="dxa"/>
        <w:tblLayout w:type="fixed"/>
        <w:tblLook w:val="04A0" w:firstRow="1" w:lastRow="0" w:firstColumn="1" w:lastColumn="0" w:noHBand="0" w:noVBand="1"/>
      </w:tblPr>
      <w:tblGrid>
        <w:gridCol w:w="3056"/>
        <w:gridCol w:w="901"/>
        <w:gridCol w:w="1531"/>
        <w:gridCol w:w="1797"/>
        <w:gridCol w:w="1355"/>
      </w:tblGrid>
      <w:tr w:rsidR="007D2089" w:rsidTr="005E3BF6">
        <w:tc>
          <w:tcPr>
            <w:tcW w:w="3056"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Type</w:t>
            </w:r>
          </w:p>
        </w:tc>
        <w:tc>
          <w:tcPr>
            <w:tcW w:w="901" w:type="dxa"/>
            <w:tcBorders>
              <w:top w:val="single" w:sz="4" w:space="0" w:color="auto"/>
              <w:left w:val="single" w:sz="4" w:space="0" w:color="auto"/>
              <w:bottom w:val="single" w:sz="4" w:space="0" w:color="auto"/>
              <w:right w:val="single" w:sz="4" w:space="0" w:color="auto"/>
            </w:tcBorders>
            <w:hideMark/>
          </w:tcPr>
          <w:p w:rsidR="007D2089" w:rsidRPr="005E3BF6" w:rsidRDefault="007D2089">
            <w:pPr>
              <w:ind w:right="-108"/>
              <w:rPr>
                <w:rFonts w:asciiTheme="minorHAnsi" w:hAnsiTheme="minorHAnsi" w:cstheme="minorHAnsi"/>
                <w:sz w:val="24"/>
              </w:rPr>
            </w:pPr>
            <w:r w:rsidRPr="005E3BF6">
              <w:rPr>
                <w:rFonts w:asciiTheme="minorHAnsi" w:hAnsiTheme="minorHAnsi" w:cstheme="minorHAnsi"/>
                <w:sz w:val="24"/>
              </w:rPr>
              <w:t>Total #</w:t>
            </w:r>
          </w:p>
        </w:tc>
        <w:tc>
          <w:tcPr>
            <w:tcW w:w="1531" w:type="dxa"/>
            <w:tcBorders>
              <w:top w:val="single" w:sz="4" w:space="0" w:color="auto"/>
              <w:left w:val="single" w:sz="4" w:space="0" w:color="auto"/>
              <w:bottom w:val="single" w:sz="4" w:space="0" w:color="auto"/>
              <w:right w:val="single" w:sz="4" w:space="0" w:color="auto"/>
            </w:tcBorders>
            <w:hideMark/>
          </w:tcPr>
          <w:p w:rsidR="007D2089" w:rsidRPr="005E3BF6" w:rsidRDefault="007D2089">
            <w:pPr>
              <w:ind w:right="-108"/>
              <w:rPr>
                <w:rFonts w:asciiTheme="minorHAnsi" w:hAnsiTheme="minorHAnsi" w:cstheme="minorHAnsi"/>
                <w:sz w:val="24"/>
              </w:rPr>
            </w:pPr>
            <w:r w:rsidRPr="005E3BF6">
              <w:rPr>
                <w:rFonts w:asciiTheme="minorHAnsi" w:hAnsiTheme="minorHAnsi" w:cstheme="minorHAnsi"/>
                <w:sz w:val="24"/>
              </w:rPr>
              <w:t>Substantiated</w:t>
            </w:r>
          </w:p>
        </w:tc>
        <w:tc>
          <w:tcPr>
            <w:tcW w:w="1797" w:type="dxa"/>
            <w:tcBorders>
              <w:top w:val="single" w:sz="4" w:space="0" w:color="auto"/>
              <w:left w:val="single" w:sz="4" w:space="0" w:color="auto"/>
              <w:bottom w:val="single" w:sz="4" w:space="0" w:color="auto"/>
              <w:right w:val="single" w:sz="4" w:space="0" w:color="auto"/>
            </w:tcBorders>
            <w:hideMark/>
          </w:tcPr>
          <w:p w:rsidR="007D2089" w:rsidRPr="005E3BF6" w:rsidRDefault="007D2089">
            <w:pPr>
              <w:ind w:right="-108"/>
              <w:rPr>
                <w:rFonts w:asciiTheme="minorHAnsi" w:hAnsiTheme="minorHAnsi" w:cstheme="minorHAnsi"/>
                <w:sz w:val="24"/>
              </w:rPr>
            </w:pPr>
            <w:r w:rsidRPr="005E3BF6">
              <w:rPr>
                <w:rFonts w:asciiTheme="minorHAnsi" w:hAnsiTheme="minorHAnsi" w:cstheme="minorHAnsi"/>
                <w:sz w:val="24"/>
              </w:rPr>
              <w:t>Unsubstantiated</w:t>
            </w:r>
          </w:p>
        </w:tc>
        <w:tc>
          <w:tcPr>
            <w:tcW w:w="1355" w:type="dxa"/>
            <w:tcBorders>
              <w:top w:val="single" w:sz="4" w:space="0" w:color="auto"/>
              <w:left w:val="single" w:sz="4" w:space="0" w:color="auto"/>
              <w:bottom w:val="single" w:sz="4" w:space="0" w:color="auto"/>
              <w:right w:val="single" w:sz="4" w:space="0" w:color="auto"/>
            </w:tcBorders>
            <w:hideMark/>
          </w:tcPr>
          <w:p w:rsidR="007D2089" w:rsidRPr="005E3BF6" w:rsidRDefault="007D2089">
            <w:pPr>
              <w:ind w:right="-108"/>
              <w:rPr>
                <w:rFonts w:asciiTheme="minorHAnsi" w:hAnsiTheme="minorHAnsi" w:cstheme="minorHAnsi"/>
                <w:sz w:val="24"/>
              </w:rPr>
            </w:pPr>
            <w:r w:rsidRPr="005E3BF6">
              <w:rPr>
                <w:rFonts w:asciiTheme="minorHAnsi" w:hAnsiTheme="minorHAnsi" w:cstheme="minorHAnsi"/>
                <w:sz w:val="24"/>
              </w:rPr>
              <w:t>Unfounded</w:t>
            </w:r>
          </w:p>
        </w:tc>
      </w:tr>
      <w:tr w:rsidR="007D2089" w:rsidTr="005E3BF6">
        <w:tc>
          <w:tcPr>
            <w:tcW w:w="3056"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Youth Nonconsensual Sexual Acts (IRs, Invest. Reports, SAIRs)</w:t>
            </w:r>
          </w:p>
        </w:tc>
        <w:tc>
          <w:tcPr>
            <w:tcW w:w="90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3</w:t>
            </w:r>
          </w:p>
        </w:tc>
        <w:tc>
          <w:tcPr>
            <w:tcW w:w="153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797"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3</w:t>
            </w:r>
          </w:p>
        </w:tc>
        <w:tc>
          <w:tcPr>
            <w:tcW w:w="1355"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r>
      <w:tr w:rsidR="007D2089" w:rsidTr="005E3BF6">
        <w:tc>
          <w:tcPr>
            <w:tcW w:w="3056"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Youth Abusive Sexual Contact (IRs, Invest. Reports, SAIRs)</w:t>
            </w:r>
          </w:p>
        </w:tc>
        <w:tc>
          <w:tcPr>
            <w:tcW w:w="90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53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797"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355"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r>
      <w:tr w:rsidR="007D2089" w:rsidTr="005E3BF6">
        <w:tc>
          <w:tcPr>
            <w:tcW w:w="3056"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Youth Sexual Harassment (IRs, Invest. Reports, SAIRs)</w:t>
            </w:r>
          </w:p>
        </w:tc>
        <w:tc>
          <w:tcPr>
            <w:tcW w:w="90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53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797"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355"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r>
      <w:tr w:rsidR="007D2089" w:rsidTr="005E3BF6">
        <w:tc>
          <w:tcPr>
            <w:tcW w:w="3056"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Staff Sexual Misconduct (IRs, Invest. Reports, SAIRs)</w:t>
            </w:r>
          </w:p>
        </w:tc>
        <w:tc>
          <w:tcPr>
            <w:tcW w:w="90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53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797"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355"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r>
      <w:tr w:rsidR="007D2089" w:rsidTr="005E3BF6">
        <w:tc>
          <w:tcPr>
            <w:tcW w:w="3056"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Staff Sexual Harassment (IRs, Invest. Reports, SAIRs)</w:t>
            </w:r>
          </w:p>
        </w:tc>
        <w:tc>
          <w:tcPr>
            <w:tcW w:w="90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531"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797"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c>
          <w:tcPr>
            <w:tcW w:w="1355" w:type="dxa"/>
            <w:tcBorders>
              <w:top w:val="single" w:sz="4" w:space="0" w:color="auto"/>
              <w:left w:val="single" w:sz="4" w:space="0" w:color="auto"/>
              <w:bottom w:val="single" w:sz="4" w:space="0" w:color="auto"/>
              <w:right w:val="single" w:sz="4" w:space="0" w:color="auto"/>
            </w:tcBorders>
            <w:hideMark/>
          </w:tcPr>
          <w:p w:rsidR="007D2089" w:rsidRPr="005E3BF6" w:rsidRDefault="007D2089">
            <w:pPr>
              <w:rPr>
                <w:rFonts w:asciiTheme="minorHAnsi" w:hAnsiTheme="minorHAnsi" w:cstheme="minorHAnsi"/>
                <w:sz w:val="24"/>
              </w:rPr>
            </w:pPr>
            <w:r w:rsidRPr="005E3BF6">
              <w:rPr>
                <w:rFonts w:asciiTheme="minorHAnsi" w:hAnsiTheme="minorHAnsi" w:cstheme="minorHAnsi"/>
                <w:sz w:val="24"/>
              </w:rPr>
              <w:t>0</w:t>
            </w:r>
          </w:p>
        </w:tc>
      </w:tr>
    </w:tbl>
    <w:p w:rsidR="00246D98" w:rsidRPr="00246D98" w:rsidRDefault="00246D98" w:rsidP="00246D98">
      <w:pPr>
        <w:pStyle w:val="NoSpacing"/>
        <w:rPr>
          <w:sz w:val="28"/>
          <w:szCs w:val="28"/>
        </w:rPr>
      </w:pPr>
    </w:p>
    <w:p w:rsidR="00F11DEA" w:rsidRPr="00246D98" w:rsidRDefault="00F11DEA" w:rsidP="00246D98">
      <w:pPr>
        <w:pStyle w:val="NoSpacing"/>
        <w:rPr>
          <w:b/>
          <w:sz w:val="28"/>
          <w:szCs w:val="28"/>
        </w:rPr>
      </w:pPr>
      <w:r w:rsidRPr="00246D98">
        <w:rPr>
          <w:b/>
          <w:sz w:val="28"/>
          <w:szCs w:val="28"/>
        </w:rPr>
        <w:t>Problem Areas:</w:t>
      </w:r>
    </w:p>
    <w:p w:rsidR="00246D98" w:rsidRDefault="00246D98" w:rsidP="00246D98">
      <w:pPr>
        <w:pStyle w:val="NoSpacing"/>
        <w:rPr>
          <w:sz w:val="28"/>
          <w:szCs w:val="28"/>
        </w:rPr>
      </w:pPr>
      <w:r w:rsidRPr="00246D98">
        <w:rPr>
          <w:sz w:val="28"/>
          <w:szCs w:val="28"/>
        </w:rPr>
        <w:t xml:space="preserve">The 2015 Vulnerability Assessment indicates camera installation has improved visibility and observation for staff and youth safety.  Recommendations are that signs are placed in areas in which youth are either not permitted or not permitted without supervision. </w:t>
      </w:r>
    </w:p>
    <w:p w:rsidR="00246D98" w:rsidRPr="00246D98" w:rsidRDefault="00246D98" w:rsidP="00246D98">
      <w:pPr>
        <w:pStyle w:val="NoSpacing"/>
        <w:rPr>
          <w:sz w:val="28"/>
          <w:szCs w:val="28"/>
        </w:rPr>
      </w:pPr>
      <w:r w:rsidRPr="00246D98">
        <w:rPr>
          <w:sz w:val="28"/>
          <w:szCs w:val="28"/>
        </w:rPr>
        <w:t xml:space="preserve"> </w:t>
      </w:r>
    </w:p>
    <w:p w:rsidR="00246D98" w:rsidRPr="00246D98" w:rsidRDefault="00F11DEA" w:rsidP="00246D98">
      <w:pPr>
        <w:pStyle w:val="NoSpacing"/>
        <w:rPr>
          <w:b/>
          <w:sz w:val="28"/>
          <w:szCs w:val="28"/>
        </w:rPr>
      </w:pPr>
      <w:r w:rsidRPr="00246D98">
        <w:rPr>
          <w:b/>
          <w:sz w:val="28"/>
          <w:szCs w:val="28"/>
        </w:rPr>
        <w:t>Corrective Actions (Immediate):</w:t>
      </w:r>
    </w:p>
    <w:p w:rsidR="00246D98" w:rsidRPr="00246D98" w:rsidRDefault="00246D98" w:rsidP="00246D98">
      <w:pPr>
        <w:pStyle w:val="NoSpacing"/>
        <w:rPr>
          <w:sz w:val="28"/>
          <w:szCs w:val="28"/>
        </w:rPr>
      </w:pPr>
      <w:r w:rsidRPr="00246D98">
        <w:rPr>
          <w:sz w:val="28"/>
          <w:szCs w:val="28"/>
        </w:rPr>
        <w:t xml:space="preserve">There were no PREA instances for the 2015-2016 monitoring period that require immediate correction. </w:t>
      </w:r>
    </w:p>
    <w:p w:rsidR="00246D98" w:rsidRDefault="00246D98" w:rsidP="00246D98">
      <w:pPr>
        <w:pStyle w:val="NoSpacing"/>
        <w:rPr>
          <w:sz w:val="28"/>
          <w:szCs w:val="28"/>
        </w:rPr>
      </w:pPr>
    </w:p>
    <w:p w:rsidR="00F11DEA" w:rsidRDefault="00F11DEA" w:rsidP="00246D98">
      <w:pPr>
        <w:pStyle w:val="NoSpacing"/>
        <w:rPr>
          <w:b/>
          <w:sz w:val="28"/>
          <w:szCs w:val="28"/>
        </w:rPr>
      </w:pPr>
      <w:r w:rsidRPr="00246D98">
        <w:rPr>
          <w:b/>
          <w:sz w:val="28"/>
          <w:szCs w:val="28"/>
        </w:rPr>
        <w:t>Corrective Actions (Ongoing):</w:t>
      </w:r>
    </w:p>
    <w:p w:rsidR="00246D98" w:rsidRDefault="00246D98" w:rsidP="00246D98">
      <w:pPr>
        <w:pStyle w:val="NoSpacing"/>
        <w:rPr>
          <w:sz w:val="28"/>
          <w:szCs w:val="28"/>
        </w:rPr>
      </w:pPr>
      <w:r>
        <w:rPr>
          <w:sz w:val="28"/>
          <w:szCs w:val="28"/>
        </w:rPr>
        <w:t>Signage has been posted in restricted areas in which youth are not permitted.</w:t>
      </w:r>
    </w:p>
    <w:p w:rsidR="00246D98" w:rsidRPr="00246D98" w:rsidRDefault="00246D98" w:rsidP="00246D98">
      <w:pPr>
        <w:pStyle w:val="NoSpacing"/>
        <w:rPr>
          <w:sz w:val="28"/>
          <w:szCs w:val="28"/>
        </w:rPr>
      </w:pPr>
    </w:p>
    <w:p w:rsidR="00F11DEA" w:rsidRPr="005E3BF6" w:rsidRDefault="00F11DEA" w:rsidP="00246D98">
      <w:pPr>
        <w:pStyle w:val="NoSpacing"/>
        <w:rPr>
          <w:b/>
          <w:sz w:val="28"/>
          <w:szCs w:val="28"/>
        </w:rPr>
      </w:pPr>
      <w:r w:rsidRPr="005E3BF6">
        <w:rPr>
          <w:b/>
          <w:sz w:val="28"/>
          <w:szCs w:val="28"/>
        </w:rPr>
        <w:t>Previous Year’s Data and Corrective Actions (Comparison)</w:t>
      </w:r>
      <w:r w:rsidR="00163501" w:rsidRPr="005E3BF6">
        <w:rPr>
          <w:b/>
          <w:sz w:val="28"/>
          <w:szCs w:val="28"/>
        </w:rPr>
        <w:t xml:space="preserve"> &amp; Assessment</w:t>
      </w:r>
      <w:r w:rsidRPr="005E3BF6">
        <w:rPr>
          <w:b/>
          <w:sz w:val="28"/>
          <w:szCs w:val="28"/>
        </w:rPr>
        <w:t>:</w:t>
      </w:r>
    </w:p>
    <w:tbl>
      <w:tblPr>
        <w:tblStyle w:val="TableGrid"/>
        <w:tblW w:w="9335" w:type="dxa"/>
        <w:jc w:val="center"/>
        <w:tblLook w:val="04A0" w:firstRow="1" w:lastRow="0" w:firstColumn="1" w:lastColumn="0" w:noHBand="0" w:noVBand="1"/>
      </w:tblPr>
      <w:tblGrid>
        <w:gridCol w:w="2125"/>
        <w:gridCol w:w="793"/>
        <w:gridCol w:w="1796"/>
        <w:gridCol w:w="2104"/>
        <w:gridCol w:w="1221"/>
        <w:gridCol w:w="1296"/>
      </w:tblGrid>
      <w:tr w:rsidR="005E3BF6" w:rsidRPr="00246D98" w:rsidTr="005E3BF6">
        <w:trPr>
          <w:jc w:val="center"/>
        </w:trPr>
        <w:tc>
          <w:tcPr>
            <w:tcW w:w="2125" w:type="dxa"/>
          </w:tcPr>
          <w:p w:rsidR="005E3BF6" w:rsidRPr="006E6218" w:rsidRDefault="005E3BF6" w:rsidP="00246D98">
            <w:pPr>
              <w:pStyle w:val="NoSpacing"/>
              <w:rPr>
                <w:rFonts w:cstheme="minorHAnsi"/>
                <w:sz w:val="24"/>
                <w:szCs w:val="24"/>
              </w:rPr>
            </w:pPr>
            <w:r w:rsidRPr="006E6218">
              <w:rPr>
                <w:rFonts w:cstheme="minorHAnsi"/>
                <w:sz w:val="24"/>
                <w:szCs w:val="24"/>
              </w:rPr>
              <w:t>Type</w:t>
            </w:r>
          </w:p>
        </w:tc>
        <w:tc>
          <w:tcPr>
            <w:tcW w:w="793" w:type="dxa"/>
          </w:tcPr>
          <w:p w:rsidR="005E3BF6" w:rsidRPr="006E6218" w:rsidRDefault="005E3BF6" w:rsidP="00246D98">
            <w:pPr>
              <w:pStyle w:val="NoSpacing"/>
              <w:rPr>
                <w:rFonts w:cstheme="minorHAnsi"/>
                <w:sz w:val="24"/>
                <w:szCs w:val="24"/>
              </w:rPr>
            </w:pPr>
            <w:r w:rsidRPr="006E6218">
              <w:rPr>
                <w:rFonts w:cstheme="minorHAnsi"/>
                <w:sz w:val="24"/>
                <w:szCs w:val="24"/>
              </w:rPr>
              <w:t>Total #</w:t>
            </w:r>
          </w:p>
        </w:tc>
        <w:tc>
          <w:tcPr>
            <w:tcW w:w="1796" w:type="dxa"/>
          </w:tcPr>
          <w:p w:rsidR="005E3BF6" w:rsidRPr="006E6218" w:rsidRDefault="005E3BF6" w:rsidP="00246D98">
            <w:pPr>
              <w:pStyle w:val="NoSpacing"/>
              <w:rPr>
                <w:rFonts w:cstheme="minorHAnsi"/>
                <w:sz w:val="24"/>
                <w:szCs w:val="24"/>
              </w:rPr>
            </w:pPr>
            <w:r w:rsidRPr="006E6218">
              <w:rPr>
                <w:rFonts w:cstheme="minorHAnsi"/>
                <w:sz w:val="24"/>
                <w:szCs w:val="24"/>
              </w:rPr>
              <w:t>Substantiated</w:t>
            </w:r>
          </w:p>
        </w:tc>
        <w:tc>
          <w:tcPr>
            <w:tcW w:w="2104" w:type="dxa"/>
          </w:tcPr>
          <w:p w:rsidR="005E3BF6" w:rsidRPr="006E6218" w:rsidRDefault="005E3BF6" w:rsidP="00246D98">
            <w:pPr>
              <w:pStyle w:val="NoSpacing"/>
              <w:rPr>
                <w:rFonts w:cstheme="minorHAnsi"/>
                <w:sz w:val="24"/>
                <w:szCs w:val="24"/>
              </w:rPr>
            </w:pPr>
            <w:r w:rsidRPr="006E6218">
              <w:rPr>
                <w:rFonts w:cstheme="minorHAnsi"/>
                <w:sz w:val="24"/>
                <w:szCs w:val="24"/>
              </w:rPr>
              <w:t>Unsubstantiated</w:t>
            </w:r>
          </w:p>
        </w:tc>
        <w:tc>
          <w:tcPr>
            <w:tcW w:w="1221" w:type="dxa"/>
          </w:tcPr>
          <w:p w:rsidR="005E3BF6" w:rsidRPr="006E6218" w:rsidRDefault="005E3BF6" w:rsidP="00246D98">
            <w:pPr>
              <w:pStyle w:val="NoSpacing"/>
              <w:rPr>
                <w:rFonts w:cstheme="minorHAnsi"/>
                <w:sz w:val="24"/>
                <w:szCs w:val="24"/>
              </w:rPr>
            </w:pPr>
            <w:r w:rsidRPr="006E6218">
              <w:rPr>
                <w:rFonts w:cstheme="minorHAnsi"/>
                <w:sz w:val="24"/>
                <w:szCs w:val="24"/>
              </w:rPr>
              <w:t>Founded</w:t>
            </w:r>
          </w:p>
        </w:tc>
        <w:tc>
          <w:tcPr>
            <w:tcW w:w="1296" w:type="dxa"/>
          </w:tcPr>
          <w:p w:rsidR="005E3BF6" w:rsidRPr="006E6218" w:rsidRDefault="005E3BF6" w:rsidP="00246D98">
            <w:pPr>
              <w:pStyle w:val="NoSpacing"/>
              <w:rPr>
                <w:rFonts w:cstheme="minorHAnsi"/>
                <w:sz w:val="24"/>
                <w:szCs w:val="24"/>
              </w:rPr>
            </w:pPr>
            <w:r w:rsidRPr="006E6218">
              <w:rPr>
                <w:rFonts w:cstheme="minorHAnsi"/>
                <w:sz w:val="24"/>
                <w:szCs w:val="24"/>
              </w:rPr>
              <w:t>Unfounded</w:t>
            </w:r>
          </w:p>
        </w:tc>
      </w:tr>
      <w:tr w:rsidR="005E3BF6" w:rsidRPr="00246D98" w:rsidTr="005E3BF6">
        <w:trPr>
          <w:jc w:val="center"/>
        </w:trPr>
        <w:tc>
          <w:tcPr>
            <w:tcW w:w="2125" w:type="dxa"/>
          </w:tcPr>
          <w:p w:rsidR="005E3BF6" w:rsidRPr="006E6218" w:rsidRDefault="005E3BF6" w:rsidP="00246D98">
            <w:pPr>
              <w:pStyle w:val="NoSpacing"/>
              <w:rPr>
                <w:rFonts w:cstheme="minorHAnsi"/>
                <w:sz w:val="24"/>
                <w:szCs w:val="24"/>
              </w:rPr>
            </w:pPr>
            <w:r w:rsidRPr="006E6218">
              <w:rPr>
                <w:rFonts w:cstheme="minorHAnsi"/>
                <w:sz w:val="24"/>
                <w:szCs w:val="24"/>
              </w:rPr>
              <w:t>Sexual Abuse (IRs, Invest. Reports, SAIRs)</w:t>
            </w:r>
          </w:p>
        </w:tc>
        <w:tc>
          <w:tcPr>
            <w:tcW w:w="793" w:type="dxa"/>
          </w:tcPr>
          <w:p w:rsidR="005E3BF6" w:rsidRPr="006E6218" w:rsidRDefault="005E3BF6" w:rsidP="00246D98">
            <w:pPr>
              <w:pStyle w:val="NoSpacing"/>
              <w:rPr>
                <w:rFonts w:cstheme="minorHAnsi"/>
                <w:sz w:val="24"/>
                <w:szCs w:val="24"/>
              </w:rPr>
            </w:pPr>
            <w:r w:rsidRPr="006E6218">
              <w:rPr>
                <w:rFonts w:cstheme="minorHAnsi"/>
                <w:sz w:val="24"/>
                <w:szCs w:val="24"/>
              </w:rPr>
              <w:t>5</w:t>
            </w:r>
          </w:p>
        </w:tc>
        <w:tc>
          <w:tcPr>
            <w:tcW w:w="1796" w:type="dxa"/>
          </w:tcPr>
          <w:p w:rsidR="005E3BF6" w:rsidRPr="006E6218" w:rsidRDefault="005E3BF6" w:rsidP="00246D98">
            <w:pPr>
              <w:pStyle w:val="NoSpacing"/>
              <w:rPr>
                <w:rFonts w:cstheme="minorHAnsi"/>
                <w:sz w:val="24"/>
                <w:szCs w:val="24"/>
              </w:rPr>
            </w:pPr>
            <w:r w:rsidRPr="006E6218">
              <w:rPr>
                <w:rFonts w:cstheme="minorHAnsi"/>
                <w:sz w:val="24"/>
                <w:szCs w:val="24"/>
              </w:rPr>
              <w:t>0</w:t>
            </w:r>
          </w:p>
        </w:tc>
        <w:tc>
          <w:tcPr>
            <w:tcW w:w="2104" w:type="dxa"/>
          </w:tcPr>
          <w:p w:rsidR="005E3BF6" w:rsidRPr="006E6218" w:rsidRDefault="005E3BF6" w:rsidP="00246D98">
            <w:pPr>
              <w:pStyle w:val="NoSpacing"/>
              <w:rPr>
                <w:rFonts w:cstheme="minorHAnsi"/>
                <w:sz w:val="24"/>
                <w:szCs w:val="24"/>
              </w:rPr>
            </w:pPr>
            <w:r w:rsidRPr="006E6218">
              <w:rPr>
                <w:rFonts w:cstheme="minorHAnsi"/>
                <w:sz w:val="24"/>
                <w:szCs w:val="24"/>
              </w:rPr>
              <w:t>2</w:t>
            </w:r>
          </w:p>
        </w:tc>
        <w:tc>
          <w:tcPr>
            <w:tcW w:w="1221" w:type="dxa"/>
          </w:tcPr>
          <w:p w:rsidR="005E3BF6" w:rsidRPr="006E6218" w:rsidRDefault="005E3BF6" w:rsidP="00246D98">
            <w:pPr>
              <w:pStyle w:val="NoSpacing"/>
              <w:rPr>
                <w:rFonts w:cstheme="minorHAnsi"/>
                <w:sz w:val="24"/>
                <w:szCs w:val="24"/>
              </w:rPr>
            </w:pPr>
            <w:r w:rsidRPr="006E6218">
              <w:rPr>
                <w:rFonts w:cstheme="minorHAnsi"/>
                <w:sz w:val="24"/>
                <w:szCs w:val="24"/>
              </w:rPr>
              <w:t>3</w:t>
            </w:r>
          </w:p>
        </w:tc>
        <w:tc>
          <w:tcPr>
            <w:tcW w:w="1296" w:type="dxa"/>
          </w:tcPr>
          <w:p w:rsidR="005E3BF6" w:rsidRPr="006E6218" w:rsidRDefault="005E3BF6" w:rsidP="00246D98">
            <w:pPr>
              <w:pStyle w:val="NoSpacing"/>
              <w:rPr>
                <w:rFonts w:cstheme="minorHAnsi"/>
                <w:sz w:val="24"/>
                <w:szCs w:val="24"/>
              </w:rPr>
            </w:pPr>
            <w:r w:rsidRPr="006E6218">
              <w:rPr>
                <w:rFonts w:cstheme="minorHAnsi"/>
                <w:sz w:val="24"/>
                <w:szCs w:val="24"/>
              </w:rPr>
              <w:t>0</w:t>
            </w:r>
          </w:p>
        </w:tc>
      </w:tr>
      <w:tr w:rsidR="005E3BF6" w:rsidRPr="00246D98" w:rsidTr="005E3BF6">
        <w:trPr>
          <w:jc w:val="center"/>
        </w:trPr>
        <w:tc>
          <w:tcPr>
            <w:tcW w:w="2125" w:type="dxa"/>
          </w:tcPr>
          <w:p w:rsidR="005E3BF6" w:rsidRPr="006E6218" w:rsidRDefault="005E3BF6" w:rsidP="00246D98">
            <w:pPr>
              <w:pStyle w:val="NoSpacing"/>
              <w:rPr>
                <w:rFonts w:cstheme="minorHAnsi"/>
                <w:sz w:val="24"/>
                <w:szCs w:val="24"/>
              </w:rPr>
            </w:pPr>
            <w:r w:rsidRPr="006E6218">
              <w:rPr>
                <w:rFonts w:cstheme="minorHAnsi"/>
                <w:sz w:val="24"/>
                <w:szCs w:val="24"/>
              </w:rPr>
              <w:t>Sexual Harassment (IRs, Invest. Reports, SAIRs)</w:t>
            </w:r>
          </w:p>
        </w:tc>
        <w:tc>
          <w:tcPr>
            <w:tcW w:w="793" w:type="dxa"/>
          </w:tcPr>
          <w:p w:rsidR="005E3BF6" w:rsidRPr="006E6218" w:rsidRDefault="005E3BF6" w:rsidP="00246D98">
            <w:pPr>
              <w:pStyle w:val="NoSpacing"/>
              <w:rPr>
                <w:rFonts w:cstheme="minorHAnsi"/>
                <w:sz w:val="24"/>
                <w:szCs w:val="24"/>
              </w:rPr>
            </w:pPr>
            <w:r w:rsidRPr="006E6218">
              <w:rPr>
                <w:rFonts w:cstheme="minorHAnsi"/>
                <w:sz w:val="24"/>
                <w:szCs w:val="24"/>
              </w:rPr>
              <w:t>1</w:t>
            </w:r>
          </w:p>
        </w:tc>
        <w:tc>
          <w:tcPr>
            <w:tcW w:w="1796" w:type="dxa"/>
          </w:tcPr>
          <w:p w:rsidR="005E3BF6" w:rsidRPr="006E6218" w:rsidRDefault="005E3BF6" w:rsidP="00246D98">
            <w:pPr>
              <w:pStyle w:val="NoSpacing"/>
              <w:rPr>
                <w:rFonts w:cstheme="minorHAnsi"/>
                <w:sz w:val="24"/>
                <w:szCs w:val="24"/>
              </w:rPr>
            </w:pPr>
            <w:r w:rsidRPr="006E6218">
              <w:rPr>
                <w:rFonts w:cstheme="minorHAnsi"/>
                <w:sz w:val="24"/>
                <w:szCs w:val="24"/>
              </w:rPr>
              <w:t>0</w:t>
            </w:r>
          </w:p>
        </w:tc>
        <w:tc>
          <w:tcPr>
            <w:tcW w:w="2104" w:type="dxa"/>
          </w:tcPr>
          <w:p w:rsidR="005E3BF6" w:rsidRPr="006E6218" w:rsidRDefault="005E3BF6" w:rsidP="00246D98">
            <w:pPr>
              <w:pStyle w:val="NoSpacing"/>
              <w:rPr>
                <w:rFonts w:cstheme="minorHAnsi"/>
                <w:sz w:val="24"/>
                <w:szCs w:val="24"/>
              </w:rPr>
            </w:pPr>
            <w:r w:rsidRPr="006E6218">
              <w:rPr>
                <w:rFonts w:cstheme="minorHAnsi"/>
                <w:sz w:val="24"/>
                <w:szCs w:val="24"/>
              </w:rPr>
              <w:t>0</w:t>
            </w:r>
          </w:p>
        </w:tc>
        <w:tc>
          <w:tcPr>
            <w:tcW w:w="1221" w:type="dxa"/>
          </w:tcPr>
          <w:p w:rsidR="005E3BF6" w:rsidRPr="006E6218" w:rsidRDefault="005E3BF6" w:rsidP="00246D98">
            <w:pPr>
              <w:pStyle w:val="NoSpacing"/>
              <w:rPr>
                <w:rFonts w:cstheme="minorHAnsi"/>
                <w:sz w:val="24"/>
                <w:szCs w:val="24"/>
              </w:rPr>
            </w:pPr>
            <w:r w:rsidRPr="006E6218">
              <w:rPr>
                <w:rFonts w:cstheme="minorHAnsi"/>
                <w:sz w:val="24"/>
                <w:szCs w:val="24"/>
              </w:rPr>
              <w:t>1</w:t>
            </w:r>
          </w:p>
        </w:tc>
        <w:tc>
          <w:tcPr>
            <w:tcW w:w="1296" w:type="dxa"/>
          </w:tcPr>
          <w:p w:rsidR="005E3BF6" w:rsidRPr="006E6218" w:rsidRDefault="005E3BF6" w:rsidP="00246D98">
            <w:pPr>
              <w:pStyle w:val="NoSpacing"/>
              <w:rPr>
                <w:rFonts w:cstheme="minorHAnsi"/>
                <w:sz w:val="24"/>
                <w:szCs w:val="24"/>
              </w:rPr>
            </w:pPr>
            <w:r w:rsidRPr="006E6218">
              <w:rPr>
                <w:rFonts w:cstheme="minorHAnsi"/>
                <w:sz w:val="24"/>
                <w:szCs w:val="24"/>
              </w:rPr>
              <w:t>0</w:t>
            </w:r>
          </w:p>
        </w:tc>
      </w:tr>
    </w:tbl>
    <w:p w:rsidR="00246D98" w:rsidRDefault="00246D98" w:rsidP="00246D98">
      <w:pPr>
        <w:pStyle w:val="NoSpacing"/>
        <w:rPr>
          <w:sz w:val="28"/>
          <w:szCs w:val="28"/>
        </w:rPr>
      </w:pPr>
    </w:p>
    <w:p w:rsidR="005E3BF6" w:rsidRPr="00246D98" w:rsidRDefault="005E3BF6" w:rsidP="00246D98">
      <w:pPr>
        <w:pStyle w:val="NoSpacing"/>
        <w:rPr>
          <w:sz w:val="28"/>
          <w:szCs w:val="28"/>
        </w:rPr>
      </w:pPr>
      <w:r>
        <w:rPr>
          <w:sz w:val="28"/>
          <w:szCs w:val="28"/>
        </w:rPr>
        <w:lastRenderedPageBreak/>
        <w:t xml:space="preserve">***Any and all personal identifiers </w:t>
      </w:r>
      <w:bookmarkStart w:id="0" w:name="_GoBack"/>
      <w:bookmarkEnd w:id="0"/>
      <w:r>
        <w:rPr>
          <w:sz w:val="28"/>
          <w:szCs w:val="28"/>
        </w:rPr>
        <w:t>have been omitted to protect the facility and residents from any clear and/or specific threats to their safety.</w:t>
      </w:r>
    </w:p>
    <w:p w:rsidR="006E6218" w:rsidRDefault="006E6218" w:rsidP="00246D98">
      <w:pPr>
        <w:pStyle w:val="NoSpacing"/>
        <w:rPr>
          <w:sz w:val="28"/>
          <w:szCs w:val="28"/>
        </w:rPr>
      </w:pPr>
    </w:p>
    <w:p w:rsidR="006E6218" w:rsidRDefault="006E6218" w:rsidP="00246D98">
      <w:pPr>
        <w:pStyle w:val="NoSpacing"/>
        <w:rPr>
          <w:sz w:val="28"/>
          <w:szCs w:val="28"/>
        </w:rPr>
      </w:pPr>
    </w:p>
    <w:p w:rsidR="00163501" w:rsidRPr="00246D98" w:rsidRDefault="006E6218" w:rsidP="00246D98">
      <w:pPr>
        <w:pStyle w:val="NoSpacing"/>
        <w:rPr>
          <w:sz w:val="28"/>
          <w:szCs w:val="28"/>
        </w:rPr>
      </w:pPr>
      <w:r>
        <w:rPr>
          <w:sz w:val="28"/>
          <w:szCs w:val="28"/>
        </w:rPr>
        <w:t>Renee Hagan</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63501" w:rsidRPr="00246D98" w:rsidRDefault="00163501" w:rsidP="00246D98">
      <w:pPr>
        <w:pStyle w:val="NoSpacing"/>
        <w:rPr>
          <w:sz w:val="28"/>
          <w:szCs w:val="28"/>
        </w:rPr>
      </w:pPr>
      <w:r w:rsidRPr="00246D98">
        <w:rPr>
          <w:sz w:val="28"/>
          <w:szCs w:val="28"/>
        </w:rPr>
        <w:t>Agency Head</w:t>
      </w:r>
      <w:r w:rsidRPr="00246D98">
        <w:rPr>
          <w:sz w:val="28"/>
          <w:szCs w:val="28"/>
        </w:rPr>
        <w:tab/>
      </w:r>
      <w:r w:rsidRPr="00246D98">
        <w:rPr>
          <w:sz w:val="28"/>
          <w:szCs w:val="28"/>
        </w:rPr>
        <w:tab/>
      </w:r>
      <w:r w:rsidRPr="00246D98">
        <w:rPr>
          <w:sz w:val="28"/>
          <w:szCs w:val="28"/>
        </w:rPr>
        <w:tab/>
      </w:r>
      <w:r w:rsidRPr="00246D98">
        <w:rPr>
          <w:sz w:val="28"/>
          <w:szCs w:val="28"/>
        </w:rPr>
        <w:tab/>
      </w:r>
      <w:r w:rsidRPr="00246D98">
        <w:rPr>
          <w:sz w:val="28"/>
          <w:szCs w:val="28"/>
        </w:rPr>
        <w:tab/>
      </w:r>
      <w:r w:rsidRPr="00246D98">
        <w:rPr>
          <w:sz w:val="28"/>
          <w:szCs w:val="28"/>
        </w:rPr>
        <w:tab/>
      </w:r>
    </w:p>
    <w:sectPr w:rsidR="00163501" w:rsidRPr="00246D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13" w:rsidRDefault="002C1513" w:rsidP="00F11DEA">
      <w:pPr>
        <w:spacing w:after="0" w:line="240" w:lineRule="auto"/>
      </w:pPr>
      <w:r>
        <w:separator/>
      </w:r>
    </w:p>
  </w:endnote>
  <w:endnote w:type="continuationSeparator" w:id="0">
    <w:p w:rsidR="002C1513" w:rsidRDefault="002C1513" w:rsidP="00F1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688012"/>
      <w:docPartObj>
        <w:docPartGallery w:val="Page Numbers (Bottom of Page)"/>
        <w:docPartUnique/>
      </w:docPartObj>
    </w:sdtPr>
    <w:sdtEndPr>
      <w:rPr>
        <w:noProof/>
      </w:rPr>
    </w:sdtEndPr>
    <w:sdtContent>
      <w:p w:rsidR="00F11DEA" w:rsidRDefault="00F11DEA">
        <w:pPr>
          <w:pStyle w:val="Footer"/>
          <w:jc w:val="center"/>
        </w:pPr>
        <w:r>
          <w:fldChar w:fldCharType="begin"/>
        </w:r>
        <w:r>
          <w:instrText xml:space="preserve"> PAGE   \* MERGEFORMAT </w:instrText>
        </w:r>
        <w:r>
          <w:fldChar w:fldCharType="separate"/>
        </w:r>
        <w:r w:rsidR="005E3BF6">
          <w:rPr>
            <w:noProof/>
          </w:rPr>
          <w:t>1</w:t>
        </w:r>
        <w:r>
          <w:rPr>
            <w:noProof/>
          </w:rPr>
          <w:fldChar w:fldCharType="end"/>
        </w:r>
      </w:p>
    </w:sdtContent>
  </w:sdt>
  <w:p w:rsidR="00F11DEA" w:rsidRDefault="00F11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13" w:rsidRDefault="002C1513" w:rsidP="00F11DEA">
      <w:pPr>
        <w:spacing w:after="0" w:line="240" w:lineRule="auto"/>
      </w:pPr>
      <w:r>
        <w:separator/>
      </w:r>
    </w:p>
  </w:footnote>
  <w:footnote w:type="continuationSeparator" w:id="0">
    <w:p w:rsidR="002C1513" w:rsidRDefault="002C1513" w:rsidP="00F11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EA"/>
    <w:rsid w:val="000A46EB"/>
    <w:rsid w:val="000F33C9"/>
    <w:rsid w:val="001104EC"/>
    <w:rsid w:val="00163501"/>
    <w:rsid w:val="00246D98"/>
    <w:rsid w:val="002C1513"/>
    <w:rsid w:val="004411CF"/>
    <w:rsid w:val="005E3BF6"/>
    <w:rsid w:val="00623584"/>
    <w:rsid w:val="006E6218"/>
    <w:rsid w:val="00767234"/>
    <w:rsid w:val="007D2089"/>
    <w:rsid w:val="00830883"/>
    <w:rsid w:val="009A7810"/>
    <w:rsid w:val="00CA3672"/>
    <w:rsid w:val="00F1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1F006-609D-4742-937A-568D14C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EA"/>
  </w:style>
  <w:style w:type="paragraph" w:styleId="Footer">
    <w:name w:val="footer"/>
    <w:basedOn w:val="Normal"/>
    <w:link w:val="FooterChar"/>
    <w:uiPriority w:val="99"/>
    <w:unhideWhenUsed/>
    <w:rsid w:val="00F1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EA"/>
  </w:style>
  <w:style w:type="paragraph" w:styleId="BalloonText">
    <w:name w:val="Balloon Text"/>
    <w:basedOn w:val="Normal"/>
    <w:link w:val="BalloonTextChar"/>
    <w:uiPriority w:val="99"/>
    <w:semiHidden/>
    <w:unhideWhenUsed/>
    <w:rsid w:val="0062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84"/>
    <w:rPr>
      <w:rFonts w:ascii="Tahoma" w:hAnsi="Tahoma" w:cs="Tahoma"/>
      <w:sz w:val="16"/>
      <w:szCs w:val="16"/>
    </w:rPr>
  </w:style>
  <w:style w:type="paragraph" w:styleId="NoSpacing">
    <w:name w:val="No Spacing"/>
    <w:uiPriority w:val="1"/>
    <w:qFormat/>
    <w:rsid w:val="00246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Kyle</dc:creator>
  <cp:lastModifiedBy>Joe Boggs</cp:lastModifiedBy>
  <cp:revision>3</cp:revision>
  <cp:lastPrinted>2015-08-24T13:46:00Z</cp:lastPrinted>
  <dcterms:created xsi:type="dcterms:W3CDTF">2017-06-13T17:34:00Z</dcterms:created>
  <dcterms:modified xsi:type="dcterms:W3CDTF">2017-06-13T18:07:00Z</dcterms:modified>
</cp:coreProperties>
</file>