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D8636B" w:rsidRPr="00D8636B" w:rsidRDefault="00AA3426" w:rsidP="00D8636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8A5050">
        <w:rPr>
          <w:i w:val="0"/>
          <w:sz w:val="24"/>
        </w:rPr>
        <w:t>209,108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8A5050">
        <w:rPr>
          <w:i w:val="0"/>
          <w:sz w:val="24"/>
        </w:rPr>
        <w:t>596,067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8A5050">
        <w:rPr>
          <w:i w:val="0"/>
          <w:sz w:val="24"/>
        </w:rPr>
        <w:t>62.43</w:t>
      </w:r>
      <w:r w:rsidR="007944EA">
        <w:rPr>
          <w:i w:val="0"/>
          <w:sz w:val="24"/>
        </w:rPr>
        <w:t xml:space="preserve"> in </w:t>
      </w:r>
      <w:r w:rsidR="008A5050">
        <w:rPr>
          <w:i w:val="0"/>
          <w:sz w:val="24"/>
        </w:rPr>
        <w:t>October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for Month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8A5050">
        <w:rPr>
          <w:i w:val="0"/>
          <w:sz w:val="24"/>
        </w:rPr>
        <w:t>+$82,767</w:t>
      </w:r>
    </w:p>
    <w:p w:rsidR="00D04932" w:rsidRPr="00B514B7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624460">
        <w:rPr>
          <w:i w:val="0"/>
          <w:sz w:val="24"/>
        </w:rPr>
        <w:t xml:space="preserve">Budget Variance </w:t>
      </w:r>
      <w:r w:rsidRPr="00B514B7">
        <w:rPr>
          <w:i w:val="0"/>
          <w:sz w:val="24"/>
        </w:rPr>
        <w:t xml:space="preserve">= </w:t>
      </w:r>
      <w:r w:rsidR="0031644A">
        <w:rPr>
          <w:i w:val="0"/>
          <w:sz w:val="24"/>
        </w:rPr>
        <w:t>+</w:t>
      </w:r>
      <w:r w:rsidR="009D1323" w:rsidRPr="00B514B7">
        <w:rPr>
          <w:i w:val="0"/>
          <w:sz w:val="24"/>
        </w:rPr>
        <w:t>$</w:t>
      </w:r>
      <w:r w:rsidR="00242F33">
        <w:rPr>
          <w:i w:val="0"/>
          <w:sz w:val="24"/>
        </w:rPr>
        <w:t>9,737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8A5050">
        <w:rPr>
          <w:i w:val="0"/>
          <w:sz w:val="24"/>
        </w:rPr>
        <w:t>51.5</w:t>
      </w:r>
      <w:r w:rsidRPr="00A6452B">
        <w:rPr>
          <w:i w:val="0"/>
          <w:sz w:val="24"/>
        </w:rPr>
        <w:t>%</w:t>
      </w:r>
    </w:p>
    <w:p w:rsidR="00B514B7" w:rsidRPr="00B514B7" w:rsidRDefault="00EC1BB9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8D21AD">
        <w:rPr>
          <w:i w:val="0"/>
          <w:sz w:val="24"/>
        </w:rPr>
        <w:t>Net Assets</w:t>
      </w:r>
      <w:r w:rsidRPr="00B87AF1">
        <w:rPr>
          <w:i w:val="0"/>
          <w:sz w:val="24"/>
        </w:rPr>
        <w:t xml:space="preserve"> = </w:t>
      </w:r>
      <w:r w:rsidRPr="00B514B7">
        <w:rPr>
          <w:i w:val="0"/>
          <w:sz w:val="24"/>
        </w:rPr>
        <w:t>+$</w:t>
      </w:r>
      <w:r w:rsidR="008A5050">
        <w:rPr>
          <w:i w:val="0"/>
          <w:sz w:val="24"/>
        </w:rPr>
        <w:t>6</w:t>
      </w:r>
      <w:r w:rsidR="00242F33">
        <w:rPr>
          <w:i w:val="0"/>
          <w:sz w:val="24"/>
        </w:rPr>
        <w:t>35</w:t>
      </w:r>
      <w:r w:rsidR="008A5050">
        <w:rPr>
          <w:i w:val="0"/>
          <w:sz w:val="24"/>
        </w:rPr>
        <w:t>,</w:t>
      </w:r>
      <w:r w:rsidR="00242F33">
        <w:rPr>
          <w:i w:val="0"/>
          <w:sz w:val="24"/>
        </w:rPr>
        <w:t>678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BB7C33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8A5050">
        <w:rPr>
          <w:rFonts w:ascii="Arial" w:hAnsi="Arial"/>
          <w:i/>
          <w:iCs/>
          <w:sz w:val="20"/>
          <w:szCs w:val="20"/>
        </w:rPr>
        <w:t>in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0A0CCD">
        <w:rPr>
          <w:rFonts w:ascii="Arial" w:hAnsi="Arial"/>
          <w:i/>
          <w:iCs/>
          <w:sz w:val="20"/>
          <w:szCs w:val="20"/>
        </w:rPr>
        <w:t>October</w:t>
      </w:r>
      <w:r w:rsidR="00942D4E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DE6037" w:rsidRPr="00BB7C33">
        <w:rPr>
          <w:rFonts w:ascii="Arial" w:hAnsi="Arial"/>
          <w:i/>
          <w:iCs/>
          <w:sz w:val="20"/>
          <w:szCs w:val="20"/>
        </w:rPr>
        <w:t>$</w:t>
      </w:r>
      <w:r w:rsidR="008A5050">
        <w:rPr>
          <w:rFonts w:ascii="Arial" w:hAnsi="Arial"/>
          <w:i/>
          <w:iCs/>
          <w:sz w:val="20"/>
          <w:szCs w:val="20"/>
        </w:rPr>
        <w:t>107,889 to $209,108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50288D" w:rsidRPr="00BB7C33">
        <w:rPr>
          <w:rFonts w:ascii="Arial" w:hAnsi="Arial" w:cs="Arial"/>
          <w:i/>
          <w:iCs/>
          <w:sz w:val="20"/>
          <w:szCs w:val="20"/>
        </w:rPr>
        <w:t xml:space="preserve">. </w:t>
      </w:r>
      <w:r w:rsidR="003D4BE5">
        <w:rPr>
          <w:rFonts w:ascii="Arial" w:hAnsi="Arial" w:cs="Arial"/>
          <w:i/>
          <w:iCs/>
          <w:sz w:val="20"/>
          <w:szCs w:val="20"/>
        </w:rPr>
        <w:t xml:space="preserve"> This </w:t>
      </w:r>
      <w:r w:rsidR="00242F33">
        <w:rPr>
          <w:rFonts w:ascii="Arial" w:hAnsi="Arial" w:cs="Arial"/>
          <w:i/>
          <w:iCs/>
          <w:sz w:val="20"/>
          <w:szCs w:val="20"/>
        </w:rPr>
        <w:t>is</w:t>
      </w:r>
      <w:r w:rsidR="00D8279C">
        <w:rPr>
          <w:rFonts w:ascii="Arial" w:hAnsi="Arial" w:cs="Arial"/>
          <w:i/>
          <w:iCs/>
          <w:sz w:val="20"/>
          <w:szCs w:val="20"/>
        </w:rPr>
        <w:t xml:space="preserve"> due to the </w:t>
      </w:r>
      <w:r w:rsidR="00242F33">
        <w:rPr>
          <w:rFonts w:ascii="Arial" w:hAnsi="Arial" w:cs="Arial"/>
          <w:i/>
          <w:iCs/>
          <w:sz w:val="20"/>
          <w:szCs w:val="20"/>
        </w:rPr>
        <w:t xml:space="preserve">receipt of the </w:t>
      </w:r>
      <w:r w:rsidR="00D8279C">
        <w:rPr>
          <w:rFonts w:ascii="Arial" w:hAnsi="Arial" w:cs="Arial"/>
          <w:i/>
          <w:iCs/>
          <w:sz w:val="20"/>
          <w:szCs w:val="20"/>
        </w:rPr>
        <w:t>delayed payment from CPS.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FD37C6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 w:rsidRPr="008D21AD">
        <w:rPr>
          <w:rFonts w:ascii="Arial" w:hAnsi="Arial"/>
          <w:b/>
          <w:i/>
          <w:iCs/>
          <w:sz w:val="20"/>
          <w:szCs w:val="20"/>
        </w:rPr>
        <w:t>FY16 Student Enrollment</w:t>
      </w:r>
      <w:r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Pr="00FD37C6">
        <w:rPr>
          <w:rFonts w:ascii="Arial" w:hAnsi="Arial"/>
          <w:i/>
          <w:iCs/>
          <w:sz w:val="20"/>
          <w:szCs w:val="20"/>
        </w:rPr>
        <w:t xml:space="preserve"> – The FY16 Budget was based on a student enrollment of 5</w:t>
      </w:r>
      <w:r>
        <w:rPr>
          <w:rFonts w:ascii="Arial" w:hAnsi="Arial"/>
          <w:i/>
          <w:iCs/>
          <w:sz w:val="20"/>
          <w:szCs w:val="20"/>
        </w:rPr>
        <w:t>9</w:t>
      </w:r>
      <w:r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>
        <w:rPr>
          <w:rFonts w:ascii="Arial" w:hAnsi="Arial"/>
          <w:i/>
          <w:iCs/>
          <w:sz w:val="20"/>
          <w:szCs w:val="20"/>
        </w:rPr>
        <w:t xml:space="preserve"> – same as the FY15 budget</w:t>
      </w:r>
      <w:r w:rsidRPr="00FD37C6">
        <w:rPr>
          <w:rFonts w:ascii="Arial" w:hAnsi="Arial"/>
          <w:i/>
          <w:iCs/>
          <w:sz w:val="20"/>
          <w:szCs w:val="20"/>
        </w:rPr>
        <w:t xml:space="preserve">.  This number is comprised of 16 regular, 5 Category II/Learning Disabled, and 38 Category </w:t>
      </w:r>
      <w:r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242F33" w:rsidRPr="00397504" w:rsidRDefault="00242F33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7"/>
        <w:gridCol w:w="647"/>
        <w:gridCol w:w="676"/>
        <w:gridCol w:w="720"/>
        <w:gridCol w:w="630"/>
        <w:gridCol w:w="720"/>
        <w:gridCol w:w="591"/>
        <w:gridCol w:w="672"/>
        <w:gridCol w:w="672"/>
        <w:gridCol w:w="675"/>
        <w:gridCol w:w="720"/>
        <w:gridCol w:w="630"/>
        <w:gridCol w:w="720"/>
      </w:tblGrid>
      <w:tr w:rsidR="00A36A6A" w:rsidTr="00A36A6A">
        <w:tc>
          <w:tcPr>
            <w:tcW w:w="1107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B704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7" w:type="dxa"/>
          </w:tcPr>
          <w:p w:rsidR="004906DD" w:rsidRPr="00A36A6A" w:rsidRDefault="00624460" w:rsidP="0050288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502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4906DD" w:rsidRPr="00A36A6A" w:rsidRDefault="00BB7C3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  <w:r w:rsidR="003D4B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704C2" w:rsidRPr="00A36A6A" w:rsidRDefault="00A5235B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68.82</w:t>
            </w:r>
          </w:p>
        </w:tc>
        <w:tc>
          <w:tcPr>
            <w:tcW w:w="630" w:type="dxa"/>
          </w:tcPr>
          <w:p w:rsidR="00C46FD5" w:rsidRPr="00A36A6A" w:rsidRDefault="000A0CC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62.43</w:t>
            </w:r>
          </w:p>
        </w:tc>
        <w:tc>
          <w:tcPr>
            <w:tcW w:w="720" w:type="dxa"/>
          </w:tcPr>
          <w:p w:rsidR="00ED3EE4" w:rsidRPr="00A36A6A" w:rsidRDefault="00ED3EE4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0A0CCD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October</w:t>
      </w:r>
      <w:r w:rsidR="008A042E">
        <w:rPr>
          <w:b/>
          <w:szCs w:val="18"/>
          <w:u w:val="single"/>
        </w:rPr>
        <w:t xml:space="preserve"> 201</w:t>
      </w:r>
      <w:r w:rsidR="00282950">
        <w:rPr>
          <w:b/>
          <w:szCs w:val="18"/>
          <w:u w:val="single"/>
        </w:rPr>
        <w:t>5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October</w:t>
      </w:r>
      <w:r w:rsidR="00B704C2">
        <w:rPr>
          <w:szCs w:val="18"/>
        </w:rPr>
        <w:t xml:space="preserve"> 3</w:t>
      </w:r>
      <w:r>
        <w:rPr>
          <w:szCs w:val="18"/>
        </w:rPr>
        <w:t>1</w:t>
      </w:r>
      <w:r w:rsidR="008A042E">
        <w:rPr>
          <w:szCs w:val="18"/>
        </w:rPr>
        <w:t>, 201</w:t>
      </w:r>
      <w:r w:rsidR="00282950">
        <w:rPr>
          <w:szCs w:val="18"/>
        </w:rPr>
        <w:t>5</w:t>
      </w:r>
      <w:r w:rsidR="008A042E">
        <w:rPr>
          <w:szCs w:val="18"/>
        </w:rPr>
        <w:t>.  The ending book balance was $</w:t>
      </w:r>
      <w:r>
        <w:rPr>
          <w:szCs w:val="18"/>
        </w:rPr>
        <w:t>596,067</w:t>
      </w:r>
      <w:r w:rsidR="008A042E">
        <w:rPr>
          <w:szCs w:val="18"/>
        </w:rPr>
        <w:t>. The ending bank statement balance was $</w:t>
      </w:r>
      <w:r>
        <w:rPr>
          <w:szCs w:val="18"/>
        </w:rPr>
        <w:t>225,421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386,757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282950">
        <w:rPr>
          <w:szCs w:val="18"/>
        </w:rPr>
        <w:t>$</w:t>
      </w:r>
      <w:r>
        <w:rPr>
          <w:szCs w:val="18"/>
        </w:rPr>
        <w:t>16,110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45032435"/>
    <w:bookmarkStart w:id="88" w:name="_MON_1376398043"/>
    <w:bookmarkStart w:id="89" w:name="_MON_1345032534"/>
    <w:bookmarkStart w:id="90" w:name="_MON_1345032757"/>
    <w:bookmarkStart w:id="91" w:name="_MON_1410324795"/>
    <w:bookmarkStart w:id="92" w:name="_MON_1345032811"/>
    <w:bookmarkStart w:id="93" w:name="_MON_1410675900"/>
    <w:bookmarkStart w:id="94" w:name="_MON_1394883084"/>
    <w:bookmarkStart w:id="95" w:name="_MON_1379227322"/>
    <w:bookmarkStart w:id="96" w:name="_MON_1345032821"/>
    <w:bookmarkStart w:id="97" w:name="_MON_1379231083"/>
    <w:bookmarkStart w:id="98" w:name="_MON_1345032841"/>
    <w:bookmarkStart w:id="99" w:name="_MON_1397296629"/>
    <w:bookmarkStart w:id="100" w:name="_MON_1345032877"/>
    <w:bookmarkStart w:id="101" w:name="_MON_1345033034"/>
    <w:bookmarkStart w:id="102" w:name="_MON_1397393106"/>
    <w:bookmarkStart w:id="103" w:name="_MON_1345033072"/>
    <w:bookmarkStart w:id="104" w:name="_MON_1345033194"/>
    <w:bookmarkStart w:id="105" w:name="_MON_1381755720"/>
    <w:bookmarkStart w:id="106" w:name="_MON_1345033300"/>
    <w:bookmarkStart w:id="107" w:name="_MON_1345033336"/>
    <w:bookmarkStart w:id="108" w:name="_MON_1345033429"/>
    <w:bookmarkStart w:id="109" w:name="_MON_1400063784"/>
    <w:bookmarkStart w:id="110" w:name="_MON_1345033470"/>
    <w:bookmarkStart w:id="111" w:name="_MON_1345359827"/>
    <w:bookmarkStart w:id="112" w:name="_MON_1347782300"/>
    <w:bookmarkStart w:id="113" w:name="_MON_1350213069"/>
    <w:bookmarkStart w:id="114" w:name="_MON_1350213116"/>
    <w:bookmarkStart w:id="115" w:name="_MON_1387282600"/>
    <w:bookmarkStart w:id="116" w:name="_MON_1352896949"/>
    <w:bookmarkStart w:id="117" w:name="_MON_1402811353"/>
    <w:bookmarkStart w:id="118" w:name="_MON_1352896981"/>
    <w:bookmarkStart w:id="119" w:name="_MON_1355836036"/>
    <w:bookmarkStart w:id="120" w:name="_MON_1355836071"/>
    <w:bookmarkStart w:id="121" w:name="_MON_1358322759"/>
    <w:bookmarkStart w:id="122" w:name="_MON_1389611601"/>
    <w:bookmarkStart w:id="123" w:name="_MON_1360565057"/>
    <w:bookmarkStart w:id="124" w:name="_MON_1405328219"/>
    <w:bookmarkStart w:id="125" w:name="_MON_1363415981"/>
    <w:bookmarkStart w:id="126" w:name="_MON_1365946151"/>
    <w:bookmarkStart w:id="127" w:name="_MON_1368952048"/>
    <w:bookmarkStart w:id="128" w:name="_MON_1371534747"/>
    <w:bookmarkStart w:id="129" w:name="_MON_1392188817"/>
    <w:bookmarkStart w:id="130" w:name="_MON_1371619457"/>
    <w:bookmarkStart w:id="131" w:name="_MON_1408296369"/>
    <w:bookmarkStart w:id="132" w:name="_MON_1373782120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73785350"/>
    <w:bookmarkEnd w:id="133"/>
    <w:p w:rsidR="008A042E" w:rsidRDefault="000A0CCD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72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60.2pt" o:ole="">
            <v:imagedata r:id="rId10" o:title=""/>
          </v:shape>
          <o:OLEObject Type="Embed" ProgID="Excel.Sheet.8" ShapeID="_x0000_i1025" DrawAspect="Content" ObjectID="_1523094830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Pr="0046122C">
        <w:rPr>
          <w:rFonts w:ascii="Arial" w:hAnsi="Arial" w:cs="Arial"/>
          <w:i/>
          <w:iCs/>
          <w:sz w:val="18"/>
        </w:rPr>
        <w:t xml:space="preserve"> for</w:t>
      </w:r>
      <w:r w:rsidR="00901DE8">
        <w:rPr>
          <w:rFonts w:ascii="Arial" w:hAnsi="Arial" w:cs="Arial"/>
          <w:i/>
          <w:iCs/>
          <w:sz w:val="18"/>
        </w:rPr>
        <w:t xml:space="preserve"> </w:t>
      </w:r>
      <w:r w:rsidR="00C35030">
        <w:rPr>
          <w:rFonts w:ascii="Arial" w:hAnsi="Arial" w:cs="Arial"/>
          <w:i/>
          <w:iCs/>
          <w:sz w:val="18"/>
        </w:rPr>
        <w:t>August</w:t>
      </w:r>
      <w:r w:rsidR="000A0CCD">
        <w:rPr>
          <w:rFonts w:ascii="Arial" w:hAnsi="Arial" w:cs="Arial"/>
          <w:i/>
          <w:iCs/>
          <w:sz w:val="18"/>
        </w:rPr>
        <w:t xml:space="preserve"> September</w:t>
      </w:r>
      <w:r w:rsidR="00B704C2">
        <w:rPr>
          <w:rFonts w:ascii="Arial" w:hAnsi="Arial" w:cs="Arial"/>
          <w:i/>
          <w:iCs/>
          <w:sz w:val="18"/>
        </w:rPr>
        <w:t xml:space="preserve">, and </w:t>
      </w:r>
      <w:r w:rsidR="000A0CCD">
        <w:rPr>
          <w:rFonts w:ascii="Arial" w:hAnsi="Arial" w:cs="Arial"/>
          <w:i/>
          <w:iCs/>
          <w:sz w:val="18"/>
        </w:rPr>
        <w:t>October</w:t>
      </w:r>
      <w:r w:rsidR="002A5108" w:rsidRPr="002A5108">
        <w:rPr>
          <w:rFonts w:ascii="Arial" w:hAnsi="Arial" w:cs="Arial"/>
          <w:i/>
          <w:iCs/>
          <w:sz w:val="18"/>
        </w:rPr>
        <w:t xml:space="preserve"> 2015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B704C2">
        <w:rPr>
          <w:rFonts w:ascii="Arial" w:hAnsi="Arial" w:cs="Arial"/>
          <w:i/>
          <w:iCs/>
          <w:sz w:val="18"/>
        </w:rPr>
        <w:t>October</w:t>
      </w:r>
      <w:r w:rsidR="00C35030">
        <w:rPr>
          <w:rFonts w:ascii="Arial" w:hAnsi="Arial" w:cs="Arial"/>
          <w:i/>
          <w:iCs/>
          <w:sz w:val="18"/>
        </w:rPr>
        <w:t xml:space="preserve"> </w:t>
      </w:r>
      <w:r w:rsidR="00B704C2">
        <w:rPr>
          <w:rFonts w:ascii="Arial" w:hAnsi="Arial" w:cs="Arial"/>
          <w:i/>
          <w:iCs/>
          <w:sz w:val="18"/>
        </w:rPr>
        <w:t>6</w:t>
      </w:r>
      <w:r w:rsidR="0043230A">
        <w:rPr>
          <w:rFonts w:ascii="Arial" w:hAnsi="Arial" w:cs="Arial"/>
          <w:i/>
          <w:iCs/>
          <w:sz w:val="18"/>
        </w:rPr>
        <w:t xml:space="preserve">, </w:t>
      </w:r>
      <w:r w:rsidR="00D8636B">
        <w:rPr>
          <w:rFonts w:ascii="Arial" w:hAnsi="Arial" w:cs="Arial"/>
          <w:i/>
          <w:iCs/>
          <w:sz w:val="18"/>
        </w:rPr>
        <w:t>2015</w:t>
      </w:r>
      <w:r w:rsidRPr="0046122C">
        <w:rPr>
          <w:rFonts w:ascii="Arial" w:hAnsi="Arial" w:cs="Arial"/>
          <w:i/>
          <w:iCs/>
          <w:sz w:val="18"/>
        </w:rPr>
        <w:t>.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FB586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August</w:t>
                            </w:r>
                            <w:r w:rsidR="000A0C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0A0C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&amp; October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2015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Draft </w:t>
                            </w:r>
                            <w:r w:rsidR="000A0C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11-10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August</w:t>
                      </w:r>
                      <w:r w:rsidR="000A0C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September</w:t>
                      </w:r>
                      <w:r w:rsidR="000A0C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&amp; October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2015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Draft </w:t>
                      </w:r>
                      <w:r w:rsidR="000A0C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11-10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-15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10972922"/>
    <w:bookmarkStart w:id="135" w:name="_MON_1310976061"/>
    <w:bookmarkStart w:id="136" w:name="_MON_1402812325"/>
    <w:bookmarkStart w:id="137" w:name="_MON_1310976189"/>
    <w:bookmarkStart w:id="138" w:name="_MON_1310987176"/>
    <w:bookmarkStart w:id="139" w:name="_MON_1310987302"/>
    <w:bookmarkStart w:id="140" w:name="_MON_1313411617"/>
    <w:bookmarkStart w:id="141" w:name="_MON_1313411699"/>
    <w:bookmarkStart w:id="142" w:name="_MON_1313411722"/>
    <w:bookmarkStart w:id="143" w:name="_MON_1405331812"/>
    <w:bookmarkStart w:id="144" w:name="_MON_1313411760"/>
    <w:bookmarkStart w:id="145" w:name="_MON_1313412226"/>
    <w:bookmarkStart w:id="146" w:name="_MON_1316266128"/>
    <w:bookmarkStart w:id="147" w:name="_MON_1318915969"/>
    <w:bookmarkStart w:id="148" w:name="_MON_1318916102"/>
    <w:bookmarkStart w:id="149" w:name="_MON_1321780444"/>
    <w:bookmarkStart w:id="150" w:name="_MON_1408297730"/>
    <w:bookmarkStart w:id="151" w:name="_MON_1322047007"/>
    <w:bookmarkStart w:id="152" w:name="_MON_1324554754"/>
    <w:bookmarkStart w:id="153" w:name="_MON_1324554842"/>
    <w:bookmarkStart w:id="154" w:name="_MON_1324556081"/>
    <w:bookmarkStart w:id="155" w:name="_MON_1326722270"/>
    <w:bookmarkStart w:id="156" w:name="_MON_1329115685"/>
    <w:bookmarkStart w:id="157" w:name="_MON_1410324886"/>
    <w:bookmarkStart w:id="158" w:name="_MON_1329115719"/>
    <w:bookmarkStart w:id="159" w:name="_MON_1410673011"/>
    <w:bookmarkStart w:id="160" w:name="_MON_1410674581"/>
    <w:bookmarkStart w:id="161" w:name="_MON_1410674815"/>
    <w:bookmarkStart w:id="162" w:name="_MON_1329115827"/>
    <w:bookmarkStart w:id="163" w:name="_MON_1329116452"/>
    <w:bookmarkStart w:id="164" w:name="_MON_1329213879"/>
    <w:bookmarkStart w:id="165" w:name="_MON_1332069084"/>
    <w:bookmarkStart w:id="166" w:name="_MON_1332069211"/>
    <w:bookmarkStart w:id="167" w:name="_MON_1334576449"/>
    <w:bookmarkStart w:id="168" w:name="_MON_1334576497"/>
    <w:bookmarkStart w:id="169" w:name="_MON_1336998877"/>
    <w:bookmarkStart w:id="170" w:name="_MON_1337000057"/>
    <w:bookmarkStart w:id="171" w:name="_MON_1337000197"/>
    <w:bookmarkStart w:id="172" w:name="_MON_1340021161"/>
    <w:bookmarkStart w:id="173" w:name="_MON_1340021341"/>
    <w:bookmarkStart w:id="174" w:name="_MON_1340021448"/>
    <w:bookmarkStart w:id="175" w:name="_MON_1340021784"/>
    <w:bookmarkStart w:id="176" w:name="_MON_1340024679"/>
    <w:bookmarkStart w:id="177" w:name="_MON_1342423467"/>
    <w:bookmarkStart w:id="178" w:name="_MON_1342423759"/>
    <w:bookmarkStart w:id="179" w:name="_MON_1345030905"/>
    <w:bookmarkStart w:id="180" w:name="_MON_1345030931"/>
    <w:bookmarkStart w:id="181" w:name="_MON_1345030985"/>
    <w:bookmarkStart w:id="182" w:name="_MON_1345030998"/>
    <w:bookmarkStart w:id="183" w:name="_MON_1345031721"/>
    <w:bookmarkStart w:id="184" w:name="_MON_1345031811"/>
    <w:bookmarkStart w:id="185" w:name="_MON_1345031955"/>
    <w:bookmarkStart w:id="186" w:name="_MON_1345033813"/>
    <w:bookmarkStart w:id="187" w:name="_MON_1345033883"/>
    <w:bookmarkStart w:id="188" w:name="_MON_1345034142"/>
    <w:bookmarkStart w:id="189" w:name="_MON_1345034198"/>
    <w:bookmarkStart w:id="190" w:name="_MON_1345034217"/>
    <w:bookmarkStart w:id="191" w:name="_MON_1345360107"/>
    <w:bookmarkStart w:id="192" w:name="_MON_1347782576"/>
    <w:bookmarkStart w:id="193" w:name="_MON_1350213376"/>
    <w:bookmarkStart w:id="194" w:name="_MON_1352897775"/>
    <w:bookmarkStart w:id="195" w:name="_MON_1352897841"/>
    <w:bookmarkStart w:id="196" w:name="_MON_1355836796"/>
    <w:bookmarkStart w:id="197" w:name="_MON_1355836801"/>
    <w:bookmarkStart w:id="198" w:name="_MON_1355836891"/>
    <w:bookmarkStart w:id="199" w:name="_MON_1356163419"/>
    <w:bookmarkStart w:id="200" w:name="_MON_1358323337"/>
    <w:bookmarkStart w:id="201" w:name="_MON_1358323393"/>
    <w:bookmarkStart w:id="202" w:name="_MON_1360565979"/>
    <w:bookmarkStart w:id="203" w:name="_MON_1363416379"/>
    <w:bookmarkStart w:id="204" w:name="_MON_1365946580"/>
    <w:bookmarkStart w:id="205" w:name="_MON_1365946650"/>
    <w:bookmarkStart w:id="206" w:name="_MON_1365946739"/>
    <w:bookmarkStart w:id="207" w:name="_MON_1368952412"/>
    <w:bookmarkStart w:id="208" w:name="_MON_1371538750"/>
    <w:bookmarkStart w:id="209" w:name="_MON_1371538782"/>
    <w:bookmarkStart w:id="210" w:name="_MON_1371538867"/>
    <w:bookmarkStart w:id="211" w:name="_MON_1371538873"/>
    <w:bookmarkStart w:id="212" w:name="_MON_1371539372"/>
    <w:bookmarkStart w:id="213" w:name="_MON_1371539678"/>
    <w:bookmarkStart w:id="214" w:name="_MON_1371539824"/>
    <w:bookmarkStart w:id="215" w:name="_MON_1371539850"/>
    <w:bookmarkStart w:id="216" w:name="_MON_1371540447"/>
    <w:bookmarkStart w:id="217" w:name="_MON_1371540481"/>
    <w:bookmarkStart w:id="218" w:name="_MON_1371540493"/>
    <w:bookmarkStart w:id="219" w:name="_MON_1371546262"/>
    <w:bookmarkStart w:id="220" w:name="_MON_1371558943"/>
    <w:bookmarkStart w:id="221" w:name="_MON_1371620373"/>
    <w:bookmarkStart w:id="222" w:name="_MON_1373786429"/>
    <w:bookmarkStart w:id="223" w:name="_MON_1373788016"/>
    <w:bookmarkStart w:id="224" w:name="_MON_1373788037"/>
    <w:bookmarkStart w:id="225" w:name="_MON_1373789671"/>
    <w:bookmarkStart w:id="226" w:name="_MON_1279887336"/>
    <w:bookmarkStart w:id="227" w:name="_MON_1376398741"/>
    <w:bookmarkStart w:id="228" w:name="_MON_1282851423"/>
    <w:bookmarkStart w:id="229" w:name="_MON_1282851461"/>
    <w:bookmarkStart w:id="230" w:name="_MON_1282851478"/>
    <w:bookmarkStart w:id="231" w:name="_MON_1379229005"/>
    <w:bookmarkStart w:id="232" w:name="_MON_1282851553"/>
    <w:bookmarkStart w:id="233" w:name="_MON_1282851807"/>
    <w:bookmarkStart w:id="234" w:name="_MON_1379240958"/>
    <w:bookmarkStart w:id="235" w:name="_MON_1284573461"/>
    <w:bookmarkStart w:id="236" w:name="_MON_1284573580"/>
    <w:bookmarkStart w:id="237" w:name="_MON_1285440971"/>
    <w:bookmarkStart w:id="238" w:name="_MON_1285440993"/>
    <w:bookmarkStart w:id="239" w:name="_MON_1381756388"/>
    <w:bookmarkStart w:id="240" w:name="_MON_1381756417"/>
    <w:bookmarkStart w:id="241" w:name="_MON_1381756427"/>
    <w:bookmarkStart w:id="242" w:name="_MON_1381756841"/>
    <w:bookmarkStart w:id="243" w:name="_MON_1285441087"/>
    <w:bookmarkStart w:id="244" w:name="_MON_1287487047"/>
    <w:bookmarkStart w:id="245" w:name="_MON_1384405279"/>
    <w:bookmarkStart w:id="246" w:name="_MON_1289814010"/>
    <w:bookmarkStart w:id="247" w:name="_MON_1290069362"/>
    <w:bookmarkStart w:id="248" w:name="_MON_1290070161"/>
    <w:bookmarkStart w:id="249" w:name="_MON_1290070185"/>
    <w:bookmarkStart w:id="250" w:name="_MON_1290070216"/>
    <w:bookmarkStart w:id="251" w:name="_MON_1292915406"/>
    <w:bookmarkStart w:id="252" w:name="_MON_1387283920"/>
    <w:bookmarkStart w:id="253" w:name="_MON_1292916507"/>
    <w:bookmarkStart w:id="254" w:name="_MON_1293346964"/>
    <w:bookmarkStart w:id="255" w:name="_MON_1295415494"/>
    <w:bookmarkStart w:id="256" w:name="_MON_1295415694"/>
    <w:bookmarkStart w:id="257" w:name="_MON_1295698703"/>
    <w:bookmarkStart w:id="258" w:name="_MON_1389612346"/>
    <w:bookmarkStart w:id="259" w:name="_MON_1297758116"/>
    <w:bookmarkStart w:id="260" w:name="_MON_1297758215"/>
    <w:bookmarkStart w:id="261" w:name="_MON_1297924284"/>
    <w:bookmarkStart w:id="262" w:name="_MON_1300516506"/>
    <w:bookmarkStart w:id="263" w:name="_MON_1300516590"/>
    <w:bookmarkStart w:id="264" w:name="_MON_1392189523"/>
    <w:bookmarkStart w:id="265" w:name="_MON_1302677264"/>
    <w:bookmarkStart w:id="266" w:name="_MON_1302677306"/>
    <w:bookmarkStart w:id="267" w:name="_MON_1302980692"/>
    <w:bookmarkStart w:id="268" w:name="_MON_1302980923"/>
    <w:bookmarkStart w:id="269" w:name="_MON_1302980937"/>
    <w:bookmarkStart w:id="270" w:name="_MON_1302981053"/>
    <w:bookmarkStart w:id="271" w:name="_MON_1302982409"/>
    <w:bookmarkStart w:id="272" w:name="_MON_1305448599"/>
    <w:bookmarkStart w:id="273" w:name="_MON_1394883399"/>
    <w:bookmarkStart w:id="274" w:name="_MON_1394883445"/>
    <w:bookmarkStart w:id="275" w:name="_MON_1305448621"/>
    <w:bookmarkStart w:id="276" w:name="_MON_1305448794"/>
    <w:bookmarkStart w:id="277" w:name="_MON_1306170375"/>
    <w:bookmarkStart w:id="278" w:name="_MON_1306170761"/>
    <w:bookmarkStart w:id="279" w:name="_MON_1306170890"/>
    <w:bookmarkStart w:id="280" w:name="_MON_1397297331"/>
    <w:bookmarkStart w:id="281" w:name="_MON_1306170904"/>
    <w:bookmarkStart w:id="282" w:name="_MON_1397392836"/>
    <w:bookmarkStart w:id="283" w:name="_MON_1306170915"/>
    <w:bookmarkStart w:id="284" w:name="_MON_1397455573"/>
    <w:bookmarkStart w:id="285" w:name="_MON_1306171081"/>
    <w:bookmarkStart w:id="286" w:name="_MON_1306171135"/>
    <w:bookmarkStart w:id="287" w:name="_MON_1306171201"/>
    <w:bookmarkStart w:id="288" w:name="_MON_1308731098"/>
    <w:bookmarkStart w:id="289" w:name="_MON_1309197147"/>
    <w:bookmarkStart w:id="290" w:name="_MON_1400063460"/>
    <w:bookmarkStart w:id="291" w:name="_MON_1309197337"/>
    <w:bookmarkStart w:id="292" w:name="_MON_1309197347"/>
    <w:bookmarkStart w:id="293" w:name="_MON_1309197443"/>
    <w:bookmarkStart w:id="294" w:name="_MON_1310907360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10907614"/>
    <w:bookmarkEnd w:id="295"/>
    <w:p w:rsidR="000D5D33" w:rsidRDefault="00242F33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94" w:dyaOrig="7505">
          <v:shape id="_x0000_i1026" type="#_x0000_t75" style="width:405pt;height:387.6pt" o:ole="">
            <v:imagedata r:id="rId12" o:title=""/>
          </v:shape>
          <o:OLEObject Type="Embed" ProgID="Excel.Sheet.8" ShapeID="_x0000_i1026" DrawAspect="Content" ObjectID="_1523094831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Payables for 20</w:t>
      </w:r>
      <w:r w:rsidR="00483E94">
        <w:rPr>
          <w:rFonts w:ascii="Arial" w:hAnsi="Arial" w:cs="Arial"/>
          <w:i/>
          <w:iCs/>
          <w:sz w:val="14"/>
          <w:szCs w:val="14"/>
        </w:rPr>
        <w:t>1</w:t>
      </w:r>
      <w:r w:rsidR="002D3EEE">
        <w:rPr>
          <w:rFonts w:ascii="Arial" w:hAnsi="Arial" w:cs="Arial"/>
          <w:i/>
          <w:iCs/>
          <w:sz w:val="14"/>
          <w:szCs w:val="14"/>
        </w:rPr>
        <w:t>5</w:t>
      </w:r>
      <w:r>
        <w:rPr>
          <w:rFonts w:ascii="Arial" w:hAnsi="Arial" w:cs="Arial"/>
          <w:i/>
          <w:iCs/>
          <w:sz w:val="14"/>
          <w:szCs w:val="14"/>
        </w:rPr>
        <w:t xml:space="preserve"> include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B" w:rsidRDefault="00A5235B">
      <w:r>
        <w:separator/>
      </w:r>
    </w:p>
  </w:endnote>
  <w:endnote w:type="continuationSeparator" w:id="0">
    <w:p w:rsidR="00A5235B" w:rsidRDefault="00A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E7A5F" w:rsidRDefault="00FB5863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A5235B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begin"/>
    </w:r>
    <w:r w:rsidR="00A5235B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B2F0D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end"/>
    </w:r>
    <w:r w:rsidR="00A5235B">
      <w:rPr>
        <w:rFonts w:ascii="Arial" w:hAnsi="Arial" w:cs="Arial"/>
        <w:b/>
        <w:i/>
        <w:sz w:val="16"/>
        <w:szCs w:val="16"/>
      </w:rPr>
      <w:t xml:space="preserve"> of 3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>
      <w:rPr>
        <w:rFonts w:ascii="Arial" w:hAnsi="Arial" w:cs="Arial"/>
        <w:b/>
        <w:i/>
        <w:sz w:val="16"/>
        <w:szCs w:val="16"/>
      </w:rPr>
      <w:t xml:space="preserve">                 </w:t>
    </w:r>
    <w:r w:rsidR="00A5235B">
      <w:rPr>
        <w:rFonts w:ascii="Arial" w:hAnsi="Arial" w:cs="Arial"/>
        <w:b/>
        <w:i/>
        <w:sz w:val="16"/>
        <w:szCs w:val="16"/>
      </w:rPr>
      <w:tab/>
    </w:r>
    <w:r w:rsidR="000A0CCD">
      <w:rPr>
        <w:rFonts w:ascii="Arial" w:hAnsi="Arial" w:cs="Arial"/>
        <w:b/>
        <w:i/>
        <w:sz w:val="16"/>
        <w:szCs w:val="16"/>
      </w:rPr>
      <w:t>11/10</w:t>
    </w:r>
    <w:r w:rsidR="00A5235B">
      <w:rPr>
        <w:rFonts w:ascii="Arial" w:hAnsi="Arial" w:cs="Arial"/>
        <w:b/>
        <w:i/>
        <w:sz w:val="16"/>
        <w:szCs w:val="16"/>
      </w:rPr>
      <w:t>2015</w:t>
    </w:r>
    <w:r w:rsidR="00A5235B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A5235B" w:rsidRPr="00BE7A5F" w:rsidRDefault="00A5235B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2016 (July 2015 to June 2016)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A5235B" w:rsidRDefault="00A5235B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B" w:rsidRDefault="00A5235B">
      <w:r>
        <w:separator/>
      </w:r>
    </w:p>
  </w:footnote>
  <w:footnote w:type="continuationSeparator" w:id="0">
    <w:p w:rsidR="00A5235B" w:rsidRDefault="00A5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704C2" w:rsidRDefault="00A5235B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482EFC03" wp14:editId="4D86D2EF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0A0CCD">
      <w:rPr>
        <w:rFonts w:ascii="Garamond" w:hAnsi="Garamond" w:cs="Arial"/>
        <w:b/>
        <w:bCs/>
        <w:sz w:val="32"/>
        <w:szCs w:val="32"/>
      </w:rPr>
      <w:t>October</w:t>
    </w:r>
    <w:r w:rsidRPr="00B704C2">
      <w:rPr>
        <w:rFonts w:ascii="Garamond" w:hAnsi="Garamond" w:cs="Arial"/>
        <w:b/>
        <w:bCs/>
        <w:sz w:val="32"/>
        <w:szCs w:val="32"/>
      </w:rPr>
      <w:t xml:space="preserve"> 2015</w:t>
    </w:r>
  </w:p>
  <w:p w:rsidR="00A5235B" w:rsidRPr="00AD6619" w:rsidRDefault="00A5235B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6310"/>
    <w:rsid w:val="000075AF"/>
    <w:rsid w:val="00007C30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5B68"/>
    <w:rsid w:val="000B67C5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78FB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CFB"/>
    <w:rsid w:val="004379B5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32F3"/>
    <w:rsid w:val="004C4258"/>
    <w:rsid w:val="004C7CDF"/>
    <w:rsid w:val="004C7D76"/>
    <w:rsid w:val="004D0D26"/>
    <w:rsid w:val="004D19E3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61B99"/>
    <w:rsid w:val="00662916"/>
    <w:rsid w:val="006678E5"/>
    <w:rsid w:val="00670247"/>
    <w:rsid w:val="006705C1"/>
    <w:rsid w:val="00674326"/>
    <w:rsid w:val="00674DC9"/>
    <w:rsid w:val="00677368"/>
    <w:rsid w:val="00680507"/>
    <w:rsid w:val="006835E7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23C8"/>
    <w:rsid w:val="007D291A"/>
    <w:rsid w:val="007D3419"/>
    <w:rsid w:val="007D34A0"/>
    <w:rsid w:val="007D5C12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3487"/>
    <w:rsid w:val="00B24CF1"/>
    <w:rsid w:val="00B25BFF"/>
    <w:rsid w:val="00B3002A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514AD"/>
    <w:rsid w:val="00B514B7"/>
    <w:rsid w:val="00B524A1"/>
    <w:rsid w:val="00B53DAB"/>
    <w:rsid w:val="00B56033"/>
    <w:rsid w:val="00B5738A"/>
    <w:rsid w:val="00B602CE"/>
    <w:rsid w:val="00B60DF4"/>
    <w:rsid w:val="00B60E0E"/>
    <w:rsid w:val="00B640B2"/>
    <w:rsid w:val="00B64923"/>
    <w:rsid w:val="00B67D7C"/>
    <w:rsid w:val="00B704C2"/>
    <w:rsid w:val="00B71F40"/>
    <w:rsid w:val="00B7228E"/>
    <w:rsid w:val="00B7326F"/>
    <w:rsid w:val="00B74B01"/>
    <w:rsid w:val="00B75BA3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5863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2015 - 2016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297"/>
          <c:y val="3.2298581064738922E-2"/>
          <c:w val="0.75563258617881524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14.690000000000001</c:v>
                </c:pt>
                <c:pt idx="1">
                  <c:v>14.69</c:v>
                </c:pt>
                <c:pt idx="2">
                  <c:v>25</c:v>
                </c:pt>
                <c:pt idx="3">
                  <c:v>19.810000000000002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6.27</c:v>
                </c:pt>
                <c:pt idx="1">
                  <c:v>6.27</c:v>
                </c:pt>
                <c:pt idx="2">
                  <c:v>6.98</c:v>
                </c:pt>
                <c:pt idx="3">
                  <c:v>3.65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38.229999999999997</c:v>
                </c:pt>
                <c:pt idx="1">
                  <c:v>38.229999999999997</c:v>
                </c:pt>
                <c:pt idx="2">
                  <c:v>36.840000000000003</c:v>
                </c:pt>
                <c:pt idx="3">
                  <c:v>38.97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812096"/>
        <c:axId val="59813888"/>
      </c:barChart>
      <c:catAx>
        <c:axId val="5981209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9813888"/>
        <c:crosses val="autoZero"/>
        <c:auto val="1"/>
        <c:lblAlgn val="ctr"/>
        <c:lblOffset val="100"/>
        <c:noMultiLvlLbl val="0"/>
      </c:catAx>
      <c:valAx>
        <c:axId val="59813888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981209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1BCB-4868-445F-AB17-7BC0481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2016-04-25T17:07:00Z</dcterms:created>
  <dcterms:modified xsi:type="dcterms:W3CDTF">2016-04-25T17:07:00Z</dcterms:modified>
</cp:coreProperties>
</file>