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7D5F59">
        <w:rPr>
          <w:i w:val="0"/>
          <w:sz w:val="24"/>
        </w:rPr>
        <w:t>176,043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7D5F59">
        <w:rPr>
          <w:i w:val="0"/>
          <w:sz w:val="24"/>
        </w:rPr>
        <w:t>532,892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7D5F59">
        <w:rPr>
          <w:i w:val="0"/>
          <w:sz w:val="24"/>
        </w:rPr>
        <w:t>62.20</w:t>
      </w:r>
      <w:r w:rsidR="007944EA">
        <w:rPr>
          <w:i w:val="0"/>
          <w:sz w:val="24"/>
        </w:rPr>
        <w:t xml:space="preserve"> in </w:t>
      </w:r>
      <w:r w:rsidR="00010E6F">
        <w:rPr>
          <w:i w:val="0"/>
          <w:sz w:val="24"/>
        </w:rPr>
        <w:t>January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6C3A83">
        <w:rPr>
          <w:i w:val="0"/>
          <w:sz w:val="24"/>
        </w:rPr>
        <w:t>($</w:t>
      </w:r>
      <w:r w:rsidR="007D5F59">
        <w:rPr>
          <w:i w:val="0"/>
          <w:sz w:val="24"/>
        </w:rPr>
        <w:t>23,605</w:t>
      </w:r>
      <w:r w:rsidR="006C3A83">
        <w:rPr>
          <w:i w:val="0"/>
          <w:sz w:val="24"/>
        </w:rPr>
        <w:t>)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9D1323" w:rsidRPr="00B514B7">
        <w:rPr>
          <w:i w:val="0"/>
          <w:sz w:val="24"/>
        </w:rPr>
        <w:t>$</w:t>
      </w:r>
      <w:r w:rsidR="00D800D2">
        <w:rPr>
          <w:i w:val="0"/>
          <w:sz w:val="24"/>
        </w:rPr>
        <w:t>3,380.78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6C3A83">
        <w:rPr>
          <w:i w:val="0"/>
          <w:sz w:val="24"/>
        </w:rPr>
        <w:t>49.</w:t>
      </w:r>
      <w:r w:rsidR="007D5F59">
        <w:rPr>
          <w:i w:val="0"/>
          <w:sz w:val="24"/>
        </w:rPr>
        <w:t>2</w:t>
      </w:r>
      <w:r w:rsidRPr="00A6452B">
        <w:rPr>
          <w:i w:val="0"/>
          <w:sz w:val="24"/>
        </w:rPr>
        <w:t>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7D5F59">
        <w:rPr>
          <w:i w:val="0"/>
          <w:sz w:val="24"/>
        </w:rPr>
        <w:t>645,584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BB7C33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E12D90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010E6F">
        <w:rPr>
          <w:rFonts w:ascii="Arial" w:hAnsi="Arial"/>
          <w:i/>
          <w:iCs/>
          <w:sz w:val="20"/>
          <w:szCs w:val="20"/>
        </w:rPr>
        <w:t>January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</w:t>
      </w:r>
      <w:r w:rsidR="007D5F59">
        <w:rPr>
          <w:rFonts w:ascii="Arial" w:hAnsi="Arial"/>
          <w:i/>
          <w:iCs/>
          <w:sz w:val="20"/>
          <w:szCs w:val="20"/>
        </w:rPr>
        <w:t>183,498</w:t>
      </w:r>
      <w:r w:rsidR="00E12D90">
        <w:rPr>
          <w:rFonts w:ascii="Arial" w:hAnsi="Arial"/>
          <w:i/>
          <w:iCs/>
          <w:sz w:val="20"/>
          <w:szCs w:val="20"/>
        </w:rPr>
        <w:t xml:space="preserve"> to $</w:t>
      </w:r>
      <w:r w:rsidR="007D5F59">
        <w:rPr>
          <w:rFonts w:ascii="Arial" w:hAnsi="Arial"/>
          <w:i/>
          <w:iCs/>
          <w:sz w:val="20"/>
          <w:szCs w:val="20"/>
        </w:rPr>
        <w:t>176,043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6C3A83">
        <w:rPr>
          <w:rFonts w:ascii="Arial" w:hAnsi="Arial" w:cs="Arial"/>
          <w:i/>
          <w:iCs/>
          <w:sz w:val="20"/>
          <w:szCs w:val="20"/>
        </w:rPr>
        <w:t>. This is most</w:t>
      </w:r>
      <w:r w:rsidR="007D5F59">
        <w:rPr>
          <w:rFonts w:ascii="Arial" w:hAnsi="Arial" w:cs="Arial"/>
          <w:i/>
          <w:iCs/>
          <w:sz w:val="20"/>
          <w:szCs w:val="20"/>
        </w:rPr>
        <w:t>ly to the timing of CCIP funds</w:t>
      </w:r>
      <w:r w:rsidR="00D800D2">
        <w:rPr>
          <w:rFonts w:ascii="Arial" w:hAnsi="Arial" w:cs="Arial"/>
          <w:i/>
          <w:iCs/>
          <w:sz w:val="20"/>
          <w:szCs w:val="20"/>
        </w:rPr>
        <w:t xml:space="preserve"> and delay of CPS quarterly payment.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Pr="008D6EBC" w:rsidRDefault="00183D2C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IRS Form 990 – </w:t>
      </w:r>
      <w:r>
        <w:rPr>
          <w:rFonts w:ascii="Arial" w:hAnsi="Arial" w:cs="Arial"/>
          <w:i/>
          <w:iCs/>
          <w:sz w:val="20"/>
          <w:szCs w:val="20"/>
        </w:rPr>
        <w:t>The IRS Form 990 has been prepared and is ready for submission.  This form is a required submission every year.  We ask that the Board approve the form before it is turned in to the IRS.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183D2C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183D2C" w:rsidRPr="00397504" w:rsidRDefault="00183D2C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Review and approve IRS Form 990.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2"/>
        <w:gridCol w:w="647"/>
        <w:gridCol w:w="676"/>
        <w:gridCol w:w="719"/>
        <w:gridCol w:w="630"/>
        <w:gridCol w:w="719"/>
        <w:gridCol w:w="617"/>
        <w:gridCol w:w="672"/>
        <w:gridCol w:w="668"/>
        <w:gridCol w:w="671"/>
        <w:gridCol w:w="716"/>
        <w:gridCol w:w="627"/>
        <w:gridCol w:w="716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43673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62.66</w:t>
            </w:r>
          </w:p>
        </w:tc>
        <w:tc>
          <w:tcPr>
            <w:tcW w:w="591" w:type="dxa"/>
          </w:tcPr>
          <w:p w:rsidR="00282950" w:rsidRPr="00A36A6A" w:rsidRDefault="0007697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60.96</w:t>
            </w:r>
          </w:p>
        </w:tc>
        <w:tc>
          <w:tcPr>
            <w:tcW w:w="672" w:type="dxa"/>
          </w:tcPr>
          <w:p w:rsidR="004906DD" w:rsidRPr="00A36A6A" w:rsidRDefault="00010E6F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62.20</w:t>
            </w: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010E6F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January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January</w:t>
      </w:r>
      <w:r w:rsidR="00076970">
        <w:rPr>
          <w:szCs w:val="18"/>
        </w:rPr>
        <w:t xml:space="preserve"> </w:t>
      </w:r>
      <w:r w:rsidR="00B704C2">
        <w:rPr>
          <w:szCs w:val="18"/>
        </w:rPr>
        <w:t>3</w:t>
      </w:r>
      <w:r w:rsidR="00076970">
        <w:rPr>
          <w:szCs w:val="18"/>
        </w:rPr>
        <w:t>1</w:t>
      </w:r>
      <w:r w:rsidR="008A042E">
        <w:rPr>
          <w:szCs w:val="18"/>
        </w:rPr>
        <w:t>, 201</w:t>
      </w:r>
      <w:r>
        <w:rPr>
          <w:szCs w:val="18"/>
        </w:rPr>
        <w:t>6</w:t>
      </w:r>
      <w:r w:rsidR="008A042E">
        <w:rPr>
          <w:szCs w:val="18"/>
        </w:rPr>
        <w:t>.  The ending book balance was $</w:t>
      </w:r>
      <w:r>
        <w:rPr>
          <w:szCs w:val="18"/>
        </w:rPr>
        <w:t>532,892</w:t>
      </w:r>
      <w:r w:rsidR="008A042E">
        <w:rPr>
          <w:szCs w:val="18"/>
        </w:rPr>
        <w:t>. The ending bank statement balance was $</w:t>
      </w:r>
      <w:r>
        <w:rPr>
          <w:szCs w:val="18"/>
        </w:rPr>
        <w:t>150,742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396,004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13,854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410675900"/>
    <w:bookmarkStart w:id="88" w:name="_MON_1394883084"/>
    <w:bookmarkStart w:id="89" w:name="_MON_1379227322"/>
    <w:bookmarkStart w:id="90" w:name="_MON_1345032821"/>
    <w:bookmarkStart w:id="91" w:name="_MON_1379231083"/>
    <w:bookmarkStart w:id="92" w:name="_MON_1345032841"/>
    <w:bookmarkStart w:id="93" w:name="_MON_1397296629"/>
    <w:bookmarkStart w:id="94" w:name="_MON_1345032877"/>
    <w:bookmarkStart w:id="95" w:name="_MON_1345033034"/>
    <w:bookmarkStart w:id="96" w:name="_MON_1397393106"/>
    <w:bookmarkStart w:id="97" w:name="_MON_1345033072"/>
    <w:bookmarkStart w:id="98" w:name="_MON_1345033194"/>
    <w:bookmarkStart w:id="99" w:name="_MON_1381755720"/>
    <w:bookmarkStart w:id="100" w:name="_MON_1345033300"/>
    <w:bookmarkStart w:id="101" w:name="_MON_1345033336"/>
    <w:bookmarkStart w:id="102" w:name="_MON_1345033429"/>
    <w:bookmarkStart w:id="103" w:name="_MON_1400063784"/>
    <w:bookmarkStart w:id="104" w:name="_MON_1345033470"/>
    <w:bookmarkStart w:id="105" w:name="_MON_1345359827"/>
    <w:bookmarkStart w:id="106" w:name="_MON_1347782300"/>
    <w:bookmarkStart w:id="107" w:name="_MON_1350213069"/>
    <w:bookmarkStart w:id="108" w:name="_MON_1350213116"/>
    <w:bookmarkStart w:id="109" w:name="_MON_1387282600"/>
    <w:bookmarkStart w:id="110" w:name="_MON_1352896949"/>
    <w:bookmarkStart w:id="111" w:name="_MON_1402811353"/>
    <w:bookmarkStart w:id="112" w:name="_MON_1352896981"/>
    <w:bookmarkStart w:id="113" w:name="_MON_1355836036"/>
    <w:bookmarkStart w:id="114" w:name="_MON_1355836071"/>
    <w:bookmarkStart w:id="115" w:name="_MON_1358322759"/>
    <w:bookmarkStart w:id="116" w:name="_MON_1389611601"/>
    <w:bookmarkStart w:id="117" w:name="_MON_1360565057"/>
    <w:bookmarkStart w:id="118" w:name="_MON_1405328219"/>
    <w:bookmarkStart w:id="119" w:name="_MON_1363415981"/>
    <w:bookmarkStart w:id="120" w:name="_MON_1365946151"/>
    <w:bookmarkStart w:id="121" w:name="_MON_1368952048"/>
    <w:bookmarkStart w:id="122" w:name="_MON_1371534747"/>
    <w:bookmarkStart w:id="123" w:name="_MON_1392188817"/>
    <w:bookmarkStart w:id="124" w:name="_MON_1371619457"/>
    <w:bookmarkStart w:id="125" w:name="_MON_1408296369"/>
    <w:bookmarkStart w:id="126" w:name="_MON_1373782120"/>
    <w:bookmarkStart w:id="127" w:name="_MON_1373785350"/>
    <w:bookmarkStart w:id="128" w:name="_MON_1345032435"/>
    <w:bookmarkStart w:id="129" w:name="_MON_1376398043"/>
    <w:bookmarkStart w:id="130" w:name="_MON_1345032534"/>
    <w:bookmarkStart w:id="131" w:name="_MON_1345032757"/>
    <w:bookmarkStart w:id="132" w:name="_MON_1410324795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2811"/>
    <w:bookmarkEnd w:id="133"/>
    <w:p w:rsidR="008A042E" w:rsidRDefault="00010E6F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0.2pt" o:ole="">
            <v:imagedata r:id="rId10" o:title=""/>
          </v:shape>
          <o:OLEObject Type="Embed" ProgID="Excel.Sheet.8" ShapeID="_x0000_i1025" DrawAspect="Content" ObjectID="_1523094679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B704C2">
        <w:rPr>
          <w:rFonts w:ascii="Arial" w:hAnsi="Arial" w:cs="Arial"/>
          <w:i/>
          <w:iCs/>
          <w:sz w:val="18"/>
        </w:rPr>
        <w:t xml:space="preserve"> </w:t>
      </w:r>
      <w:r w:rsidR="006C3A83">
        <w:rPr>
          <w:rFonts w:ascii="Arial" w:hAnsi="Arial" w:cs="Arial"/>
          <w:i/>
          <w:iCs/>
          <w:sz w:val="18"/>
        </w:rPr>
        <w:t>Novembe</w:t>
      </w:r>
      <w:r w:rsidR="00E12D90">
        <w:rPr>
          <w:rFonts w:ascii="Arial" w:hAnsi="Arial" w:cs="Arial"/>
          <w:i/>
          <w:iCs/>
          <w:sz w:val="18"/>
        </w:rPr>
        <w:t>r</w:t>
      </w:r>
      <w:r w:rsidR="006C3A83">
        <w:rPr>
          <w:rFonts w:ascii="Arial" w:hAnsi="Arial" w:cs="Arial"/>
          <w:i/>
          <w:iCs/>
          <w:sz w:val="18"/>
        </w:rPr>
        <w:t>,</w:t>
      </w:r>
      <w:r w:rsidR="007D5F59">
        <w:rPr>
          <w:rFonts w:ascii="Arial" w:hAnsi="Arial" w:cs="Arial"/>
          <w:i/>
          <w:iCs/>
          <w:sz w:val="18"/>
        </w:rPr>
        <w:t xml:space="preserve"> December</w:t>
      </w:r>
      <w:r w:rsidR="006C3A83">
        <w:rPr>
          <w:rFonts w:ascii="Arial" w:hAnsi="Arial" w:cs="Arial"/>
          <w:i/>
          <w:iCs/>
          <w:sz w:val="18"/>
        </w:rPr>
        <w:t xml:space="preserve"> and </w:t>
      </w:r>
      <w:r w:rsidR="00010E6F">
        <w:rPr>
          <w:rFonts w:ascii="Arial" w:hAnsi="Arial" w:cs="Arial"/>
          <w:i/>
          <w:iCs/>
          <w:sz w:val="18"/>
        </w:rPr>
        <w:t>January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7D5F59">
        <w:rPr>
          <w:rFonts w:ascii="Arial" w:hAnsi="Arial" w:cs="Arial"/>
          <w:i/>
          <w:iCs/>
          <w:sz w:val="18"/>
        </w:rPr>
        <w:t>February 9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</w:t>
      </w:r>
      <w:r w:rsidR="006C3A83">
        <w:rPr>
          <w:rFonts w:ascii="Arial" w:hAnsi="Arial" w:cs="Arial"/>
          <w:i/>
          <w:iCs/>
          <w:sz w:val="18"/>
        </w:rPr>
        <w:t>6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16008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E12D90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November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December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&amp; January</w:t>
                            </w:r>
                            <w:r w:rsidR="00A5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E12D90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November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December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&amp; January</w:t>
                      </w:r>
                      <w:r w:rsidR="00A52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13411617"/>
    <w:bookmarkStart w:id="135" w:name="_MON_1313411699"/>
    <w:bookmarkStart w:id="136" w:name="_MON_1313411722"/>
    <w:bookmarkStart w:id="137" w:name="_MON_1405331812"/>
    <w:bookmarkStart w:id="138" w:name="_MON_1313411760"/>
    <w:bookmarkStart w:id="139" w:name="_MON_1313412226"/>
    <w:bookmarkStart w:id="140" w:name="_MON_1316266128"/>
    <w:bookmarkStart w:id="141" w:name="_MON_1318915969"/>
    <w:bookmarkStart w:id="142" w:name="_MON_1318916102"/>
    <w:bookmarkStart w:id="143" w:name="_MON_1321780444"/>
    <w:bookmarkStart w:id="144" w:name="_MON_1408297730"/>
    <w:bookmarkStart w:id="145" w:name="_MON_1322047007"/>
    <w:bookmarkStart w:id="146" w:name="_MON_1324554754"/>
    <w:bookmarkStart w:id="147" w:name="_MON_1324554842"/>
    <w:bookmarkStart w:id="148" w:name="_MON_1324556081"/>
    <w:bookmarkStart w:id="149" w:name="_MON_1326722270"/>
    <w:bookmarkStart w:id="150" w:name="_MON_1329115685"/>
    <w:bookmarkStart w:id="151" w:name="_MON_1410324886"/>
    <w:bookmarkStart w:id="152" w:name="_MON_1329115719"/>
    <w:bookmarkStart w:id="153" w:name="_MON_1410673011"/>
    <w:bookmarkStart w:id="154" w:name="_MON_1410674581"/>
    <w:bookmarkStart w:id="155" w:name="_MON_1410674815"/>
    <w:bookmarkStart w:id="156" w:name="_MON_1329115827"/>
    <w:bookmarkStart w:id="157" w:name="_MON_1329116452"/>
    <w:bookmarkStart w:id="158" w:name="_MON_1329213879"/>
    <w:bookmarkStart w:id="159" w:name="_MON_1332069084"/>
    <w:bookmarkStart w:id="160" w:name="_MON_1332069211"/>
    <w:bookmarkStart w:id="161" w:name="_MON_1334576449"/>
    <w:bookmarkStart w:id="162" w:name="_MON_1334576497"/>
    <w:bookmarkStart w:id="163" w:name="_MON_1336998877"/>
    <w:bookmarkStart w:id="164" w:name="_MON_1337000057"/>
    <w:bookmarkStart w:id="165" w:name="_MON_1337000197"/>
    <w:bookmarkStart w:id="166" w:name="_MON_1340021161"/>
    <w:bookmarkStart w:id="167" w:name="_MON_1340021341"/>
    <w:bookmarkStart w:id="168" w:name="_MON_1340021448"/>
    <w:bookmarkStart w:id="169" w:name="_MON_1340021784"/>
    <w:bookmarkStart w:id="170" w:name="_MON_1340024679"/>
    <w:bookmarkStart w:id="171" w:name="_MON_1342423467"/>
    <w:bookmarkStart w:id="172" w:name="_MON_1342423759"/>
    <w:bookmarkStart w:id="173" w:name="_MON_1345030905"/>
    <w:bookmarkStart w:id="174" w:name="_MON_1345030931"/>
    <w:bookmarkStart w:id="175" w:name="_MON_1345030985"/>
    <w:bookmarkStart w:id="176" w:name="_MON_1345030998"/>
    <w:bookmarkStart w:id="177" w:name="_MON_1345031721"/>
    <w:bookmarkStart w:id="178" w:name="_MON_1345031811"/>
    <w:bookmarkStart w:id="179" w:name="_MON_1345031955"/>
    <w:bookmarkStart w:id="180" w:name="_MON_1345033813"/>
    <w:bookmarkStart w:id="181" w:name="_MON_1345033883"/>
    <w:bookmarkStart w:id="182" w:name="_MON_1345034142"/>
    <w:bookmarkStart w:id="183" w:name="_MON_1345034198"/>
    <w:bookmarkStart w:id="184" w:name="_MON_1345034217"/>
    <w:bookmarkStart w:id="185" w:name="_MON_1345360107"/>
    <w:bookmarkStart w:id="186" w:name="_MON_1347782576"/>
    <w:bookmarkStart w:id="187" w:name="_MON_1350213376"/>
    <w:bookmarkStart w:id="188" w:name="_MON_1352897775"/>
    <w:bookmarkStart w:id="189" w:name="_MON_1352897841"/>
    <w:bookmarkStart w:id="190" w:name="_MON_1355836796"/>
    <w:bookmarkStart w:id="191" w:name="_MON_1355836801"/>
    <w:bookmarkStart w:id="192" w:name="_MON_1355836891"/>
    <w:bookmarkStart w:id="193" w:name="_MON_1356163419"/>
    <w:bookmarkStart w:id="194" w:name="_MON_1358323337"/>
    <w:bookmarkStart w:id="195" w:name="_MON_1358323393"/>
    <w:bookmarkStart w:id="196" w:name="_MON_1360565979"/>
    <w:bookmarkStart w:id="197" w:name="_MON_1363416379"/>
    <w:bookmarkStart w:id="198" w:name="_MON_1365946580"/>
    <w:bookmarkStart w:id="199" w:name="_MON_1365946650"/>
    <w:bookmarkStart w:id="200" w:name="_MON_1365946739"/>
    <w:bookmarkStart w:id="201" w:name="_MON_1368952412"/>
    <w:bookmarkStart w:id="202" w:name="_MON_1371538750"/>
    <w:bookmarkStart w:id="203" w:name="_MON_1371538782"/>
    <w:bookmarkStart w:id="204" w:name="_MON_1371538867"/>
    <w:bookmarkStart w:id="205" w:name="_MON_1371538873"/>
    <w:bookmarkStart w:id="206" w:name="_MON_1371539372"/>
    <w:bookmarkStart w:id="207" w:name="_MON_1371539678"/>
    <w:bookmarkStart w:id="208" w:name="_MON_1371539824"/>
    <w:bookmarkStart w:id="209" w:name="_MON_1371539850"/>
    <w:bookmarkStart w:id="210" w:name="_MON_1371540447"/>
    <w:bookmarkStart w:id="211" w:name="_MON_1371540481"/>
    <w:bookmarkStart w:id="212" w:name="_MON_1371540493"/>
    <w:bookmarkStart w:id="213" w:name="_MON_1371546262"/>
    <w:bookmarkStart w:id="214" w:name="_MON_1371558943"/>
    <w:bookmarkStart w:id="215" w:name="_MON_1371620373"/>
    <w:bookmarkStart w:id="216" w:name="_MON_1373786429"/>
    <w:bookmarkStart w:id="217" w:name="_MON_1373788016"/>
    <w:bookmarkStart w:id="218" w:name="_MON_1373788037"/>
    <w:bookmarkStart w:id="219" w:name="_MON_1373789671"/>
    <w:bookmarkStart w:id="220" w:name="_MON_1279887336"/>
    <w:bookmarkStart w:id="221" w:name="_MON_1376398741"/>
    <w:bookmarkStart w:id="222" w:name="_MON_1282851423"/>
    <w:bookmarkStart w:id="223" w:name="_MON_1282851461"/>
    <w:bookmarkStart w:id="224" w:name="_MON_1282851478"/>
    <w:bookmarkStart w:id="225" w:name="_MON_1379229005"/>
    <w:bookmarkStart w:id="226" w:name="_MON_1282851553"/>
    <w:bookmarkStart w:id="227" w:name="_MON_1282851807"/>
    <w:bookmarkStart w:id="228" w:name="_MON_1379240958"/>
    <w:bookmarkStart w:id="229" w:name="_MON_1284573461"/>
    <w:bookmarkStart w:id="230" w:name="_MON_1284573580"/>
    <w:bookmarkStart w:id="231" w:name="_MON_1285440971"/>
    <w:bookmarkStart w:id="232" w:name="_MON_1285440993"/>
    <w:bookmarkStart w:id="233" w:name="_MON_1381756388"/>
    <w:bookmarkStart w:id="234" w:name="_MON_1381756417"/>
    <w:bookmarkStart w:id="235" w:name="_MON_1381756427"/>
    <w:bookmarkStart w:id="236" w:name="_MON_1381756841"/>
    <w:bookmarkStart w:id="237" w:name="_MON_1285441087"/>
    <w:bookmarkStart w:id="238" w:name="_MON_1287487047"/>
    <w:bookmarkStart w:id="239" w:name="_MON_1384405279"/>
    <w:bookmarkStart w:id="240" w:name="_MON_1289814010"/>
    <w:bookmarkStart w:id="241" w:name="_MON_1290069362"/>
    <w:bookmarkStart w:id="242" w:name="_MON_1290070161"/>
    <w:bookmarkStart w:id="243" w:name="_MON_1290070185"/>
    <w:bookmarkStart w:id="244" w:name="_MON_1290070216"/>
    <w:bookmarkStart w:id="245" w:name="_MON_1292915406"/>
    <w:bookmarkStart w:id="246" w:name="_MON_1387283920"/>
    <w:bookmarkStart w:id="247" w:name="_MON_1292916507"/>
    <w:bookmarkStart w:id="248" w:name="_MON_1293346964"/>
    <w:bookmarkStart w:id="249" w:name="_MON_1295415494"/>
    <w:bookmarkStart w:id="250" w:name="_MON_1295415694"/>
    <w:bookmarkStart w:id="251" w:name="_MON_1295698703"/>
    <w:bookmarkStart w:id="252" w:name="_MON_1389612346"/>
    <w:bookmarkStart w:id="253" w:name="_MON_1297758116"/>
    <w:bookmarkStart w:id="254" w:name="_MON_1297758215"/>
    <w:bookmarkStart w:id="255" w:name="_MON_1297924284"/>
    <w:bookmarkStart w:id="256" w:name="_MON_1300516506"/>
    <w:bookmarkStart w:id="257" w:name="_MON_1300516590"/>
    <w:bookmarkStart w:id="258" w:name="_MON_1392189523"/>
    <w:bookmarkStart w:id="259" w:name="_MON_1302677264"/>
    <w:bookmarkStart w:id="260" w:name="_MON_1302677306"/>
    <w:bookmarkStart w:id="261" w:name="_MON_1302980692"/>
    <w:bookmarkStart w:id="262" w:name="_MON_1302980923"/>
    <w:bookmarkStart w:id="263" w:name="_MON_1302980937"/>
    <w:bookmarkStart w:id="264" w:name="_MON_1302981053"/>
    <w:bookmarkStart w:id="265" w:name="_MON_1302982409"/>
    <w:bookmarkStart w:id="266" w:name="_MON_1305448599"/>
    <w:bookmarkStart w:id="267" w:name="_MON_1394883399"/>
    <w:bookmarkStart w:id="268" w:name="_MON_1394883445"/>
    <w:bookmarkStart w:id="269" w:name="_MON_1305448621"/>
    <w:bookmarkStart w:id="270" w:name="_MON_1305448794"/>
    <w:bookmarkStart w:id="271" w:name="_MON_1306170375"/>
    <w:bookmarkStart w:id="272" w:name="_MON_1306170761"/>
    <w:bookmarkStart w:id="273" w:name="_MON_1306170890"/>
    <w:bookmarkStart w:id="274" w:name="_MON_1397297331"/>
    <w:bookmarkStart w:id="275" w:name="_MON_1306170904"/>
    <w:bookmarkStart w:id="276" w:name="_MON_1397392836"/>
    <w:bookmarkStart w:id="277" w:name="_MON_1306170915"/>
    <w:bookmarkStart w:id="278" w:name="_MON_1397455573"/>
    <w:bookmarkStart w:id="279" w:name="_MON_1306171081"/>
    <w:bookmarkStart w:id="280" w:name="_MON_1306171135"/>
    <w:bookmarkStart w:id="281" w:name="_MON_1306171201"/>
    <w:bookmarkStart w:id="282" w:name="_MON_1308731098"/>
    <w:bookmarkStart w:id="283" w:name="_MON_1309197147"/>
    <w:bookmarkStart w:id="284" w:name="_MON_1400063460"/>
    <w:bookmarkStart w:id="285" w:name="_MON_1309197337"/>
    <w:bookmarkStart w:id="286" w:name="_MON_1309197347"/>
    <w:bookmarkStart w:id="287" w:name="_MON_1309197443"/>
    <w:bookmarkStart w:id="288" w:name="_MON_1310907360"/>
    <w:bookmarkStart w:id="289" w:name="_MON_1310907614"/>
    <w:bookmarkStart w:id="290" w:name="_MON_1310972922"/>
    <w:bookmarkStart w:id="291" w:name="_MON_1310976061"/>
    <w:bookmarkStart w:id="292" w:name="_MON_1402812325"/>
    <w:bookmarkStart w:id="293" w:name="_MON_1310976189"/>
    <w:bookmarkStart w:id="294" w:name="_MON_1310987176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10987302"/>
    <w:bookmarkEnd w:id="295"/>
    <w:p w:rsidR="000D5D33" w:rsidRDefault="00010E6F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78" w:dyaOrig="7495">
          <v:shape id="_x0000_i1026" type="#_x0000_t75" style="width:404.4pt;height:387pt" o:ole="">
            <v:imagedata r:id="rId12" o:title=""/>
          </v:shape>
          <o:OLEObject Type="Embed" ProgID="Excel.Sheet.8" ShapeID="_x0000_i1026" DrawAspect="Content" ObjectID="_1523094680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160083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B2F0D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010E6F">
      <w:rPr>
        <w:rFonts w:ascii="Arial" w:hAnsi="Arial" w:cs="Arial"/>
        <w:b/>
        <w:i/>
        <w:sz w:val="16"/>
        <w:szCs w:val="16"/>
      </w:rPr>
      <w:t>2/09</w:t>
    </w:r>
    <w:r w:rsidR="00076970">
      <w:rPr>
        <w:rFonts w:ascii="Arial" w:hAnsi="Arial" w:cs="Arial"/>
        <w:b/>
        <w:i/>
        <w:sz w:val="16"/>
        <w:szCs w:val="16"/>
      </w:rPr>
      <w:t>/2016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3A53E9AD" wp14:editId="40385B0E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010E6F">
      <w:rPr>
        <w:rFonts w:ascii="Garamond" w:hAnsi="Garamond" w:cs="Arial"/>
        <w:b/>
        <w:bCs/>
        <w:sz w:val="32"/>
        <w:szCs w:val="32"/>
      </w:rPr>
      <w:t>January 2016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083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D5F59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297"/>
          <c:y val="3.2298581064738922E-2"/>
          <c:w val="0.75563258617881524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19.810000000000002</c:v>
                </c:pt>
                <c:pt idx="4">
                  <c:v>19.879999999999995</c:v>
                </c:pt>
                <c:pt idx="5">
                  <c:v>13.649999999999999</c:v>
                </c:pt>
                <c:pt idx="6">
                  <c:v>14.220000000000006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</c:v>
                </c:pt>
                <c:pt idx="1">
                  <c:v>6.27</c:v>
                </c:pt>
                <c:pt idx="2">
                  <c:v>6.98</c:v>
                </c:pt>
                <c:pt idx="3">
                  <c:v>3.65</c:v>
                </c:pt>
                <c:pt idx="4">
                  <c:v>2.8899999999999997</c:v>
                </c:pt>
                <c:pt idx="5">
                  <c:v>2.16</c:v>
                </c:pt>
                <c:pt idx="6">
                  <c:v>2.65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38.229999999999997</c:v>
                </c:pt>
                <c:pt idx="1">
                  <c:v>38.229999999999997</c:v>
                </c:pt>
                <c:pt idx="2">
                  <c:v>36.840000000000003</c:v>
                </c:pt>
                <c:pt idx="3">
                  <c:v>38.97</c:v>
                </c:pt>
                <c:pt idx="4" formatCode="0.00">
                  <c:v>39.89</c:v>
                </c:pt>
                <c:pt idx="5">
                  <c:v>45.15</c:v>
                </c:pt>
                <c:pt idx="6">
                  <c:v>45.33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642880"/>
        <c:axId val="57078528"/>
      </c:barChart>
      <c:catAx>
        <c:axId val="91642880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7078528"/>
        <c:crosses val="autoZero"/>
        <c:auto val="1"/>
        <c:lblAlgn val="ctr"/>
        <c:lblOffset val="100"/>
        <c:noMultiLvlLbl val="0"/>
      </c:catAx>
      <c:valAx>
        <c:axId val="57078528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642880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3012-2F77-4D65-A3B6-779DC53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2016-04-25T17:05:00Z</dcterms:created>
  <dcterms:modified xsi:type="dcterms:W3CDTF">2016-04-25T17:05:00Z</dcterms:modified>
</cp:coreProperties>
</file>