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5F5ED4">
        <w:rPr>
          <w:i w:val="0"/>
          <w:sz w:val="24"/>
        </w:rPr>
        <w:t>189,520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1C7823">
        <w:rPr>
          <w:i w:val="0"/>
          <w:sz w:val="24"/>
        </w:rPr>
        <w:t>606,047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5F5ED4">
        <w:rPr>
          <w:i w:val="0"/>
          <w:sz w:val="24"/>
        </w:rPr>
        <w:t>61.82</w:t>
      </w:r>
      <w:r w:rsidR="009322F1">
        <w:rPr>
          <w:i w:val="0"/>
          <w:sz w:val="24"/>
        </w:rPr>
        <w:t xml:space="preserve"> in </w:t>
      </w:r>
      <w:r w:rsidR="005F5ED4">
        <w:rPr>
          <w:i w:val="0"/>
          <w:sz w:val="24"/>
        </w:rPr>
        <w:t>Octo</w:t>
      </w:r>
      <w:r w:rsidR="007E71FB">
        <w:rPr>
          <w:i w:val="0"/>
          <w:sz w:val="24"/>
        </w:rPr>
        <w:t>ber</w:t>
      </w:r>
      <w:r w:rsidR="00EA23BB">
        <w:rPr>
          <w:i w:val="0"/>
          <w:sz w:val="24"/>
        </w:rPr>
        <w:t>, 62.11 in November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B3685E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5F5ED4">
        <w:rPr>
          <w:i w:val="0"/>
          <w:sz w:val="24"/>
        </w:rPr>
        <w:t>135,345</w:t>
      </w:r>
      <w:r w:rsidR="00B3685E">
        <w:rPr>
          <w:i w:val="0"/>
          <w:sz w:val="24"/>
        </w:rPr>
        <w:t>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C36434" w:rsidRPr="0042322D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EA23BB">
        <w:rPr>
          <w:i w:val="0"/>
          <w:sz w:val="24"/>
        </w:rPr>
        <w:t>7,210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5F5ED4">
        <w:rPr>
          <w:i w:val="0"/>
          <w:sz w:val="24"/>
        </w:rPr>
        <w:t>51.2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EA23BB">
        <w:rPr>
          <w:i w:val="0"/>
          <w:sz w:val="24"/>
        </w:rPr>
        <w:t>677,084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B3685E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5F5ED4">
        <w:rPr>
          <w:rFonts w:ascii="Arial" w:hAnsi="Arial"/>
          <w:i/>
          <w:iCs/>
          <w:sz w:val="20"/>
          <w:szCs w:val="20"/>
        </w:rPr>
        <w:t>October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B3685E">
        <w:rPr>
          <w:rFonts w:ascii="Arial" w:hAnsi="Arial"/>
          <w:i/>
          <w:iCs/>
          <w:sz w:val="20"/>
          <w:szCs w:val="20"/>
        </w:rPr>
        <w:t>$3</w:t>
      </w:r>
      <w:r w:rsidR="007E71FB">
        <w:rPr>
          <w:rFonts w:ascii="Arial" w:hAnsi="Arial"/>
          <w:i/>
          <w:iCs/>
          <w:sz w:val="20"/>
          <w:szCs w:val="20"/>
        </w:rPr>
        <w:t>19,436</w:t>
      </w:r>
      <w:r w:rsidR="005F5ED4">
        <w:rPr>
          <w:rFonts w:ascii="Arial" w:hAnsi="Arial"/>
          <w:i/>
          <w:iCs/>
          <w:sz w:val="20"/>
          <w:szCs w:val="20"/>
        </w:rPr>
        <w:t xml:space="preserve"> to $189,520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primarily due to </w:t>
      </w:r>
      <w:r w:rsidR="0042322D" w:rsidRPr="0042322D">
        <w:rPr>
          <w:rFonts w:ascii="Arial" w:hAnsi="Arial" w:cs="Arial"/>
          <w:i/>
          <w:iCs/>
          <w:sz w:val="20"/>
          <w:szCs w:val="20"/>
        </w:rPr>
        <w:t>the</w:t>
      </w:r>
      <w:r w:rsidR="0042322D">
        <w:rPr>
          <w:rFonts w:ascii="Arial" w:hAnsi="Arial" w:cs="Arial"/>
          <w:i/>
          <w:iCs/>
          <w:sz w:val="20"/>
          <w:szCs w:val="20"/>
        </w:rPr>
        <w:t xml:space="preserve"> </w:t>
      </w:r>
      <w:r w:rsidR="00826F0F">
        <w:rPr>
          <w:rFonts w:ascii="Arial" w:hAnsi="Arial" w:cs="Arial"/>
          <w:i/>
          <w:iCs/>
          <w:sz w:val="20"/>
          <w:szCs w:val="20"/>
        </w:rPr>
        <w:t xml:space="preserve">decrease in Special Ed funding for the month of </w:t>
      </w:r>
      <w:r w:rsidR="005F5ED4">
        <w:rPr>
          <w:rFonts w:ascii="Arial" w:hAnsi="Arial" w:cs="Arial"/>
          <w:i/>
          <w:iCs/>
          <w:sz w:val="20"/>
          <w:szCs w:val="20"/>
        </w:rPr>
        <w:t>November</w:t>
      </w:r>
      <w:r w:rsidR="00826F0F">
        <w:rPr>
          <w:rFonts w:ascii="Arial" w:hAnsi="Arial" w:cs="Arial"/>
          <w:i/>
          <w:iCs/>
          <w:sz w:val="20"/>
          <w:szCs w:val="20"/>
        </w:rPr>
        <w:t xml:space="preserve"> along with the </w:t>
      </w:r>
      <w:r w:rsidR="00FF5A81">
        <w:rPr>
          <w:rFonts w:ascii="Arial" w:hAnsi="Arial" w:cs="Arial"/>
          <w:i/>
          <w:iCs/>
          <w:sz w:val="20"/>
          <w:szCs w:val="20"/>
        </w:rPr>
        <w:t xml:space="preserve">ODE’s </w:t>
      </w:r>
      <w:r w:rsidR="00826F0F">
        <w:rPr>
          <w:rFonts w:ascii="Arial" w:hAnsi="Arial" w:cs="Arial"/>
          <w:i/>
          <w:iCs/>
          <w:sz w:val="20"/>
          <w:szCs w:val="20"/>
        </w:rPr>
        <w:t>delayed approval of the FY17 CCIP application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06D0D" w:rsidRPr="00043BCD" w:rsidRDefault="005F5ED4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Net Assets</w:t>
      </w:r>
      <w:r>
        <w:rPr>
          <w:rFonts w:ascii="Arial" w:hAnsi="Arial" w:cs="Arial"/>
          <w:i/>
          <w:iCs/>
          <w:sz w:val="20"/>
          <w:szCs w:val="20"/>
        </w:rPr>
        <w:t xml:space="preserve"> – Net assets decreased this month </w:t>
      </w:r>
      <w:r w:rsidR="00EA23BB">
        <w:rPr>
          <w:rFonts w:ascii="Arial" w:hAnsi="Arial" w:cs="Arial"/>
          <w:i/>
          <w:iCs/>
          <w:sz w:val="20"/>
          <w:szCs w:val="20"/>
        </w:rPr>
        <w:t xml:space="preserve">primarily </w:t>
      </w:r>
      <w:r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EA23BB">
        <w:rPr>
          <w:rFonts w:ascii="Arial" w:hAnsi="Arial" w:cs="Arial"/>
          <w:i/>
          <w:iCs/>
          <w:sz w:val="20"/>
          <w:szCs w:val="20"/>
        </w:rPr>
        <w:t>expiration of Student IEP’s and investment losses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EA23BB">
        <w:rPr>
          <w:rFonts w:ascii="Arial" w:hAnsi="Arial" w:cs="Arial"/>
          <w:i/>
          <w:iCs/>
          <w:sz w:val="20"/>
          <w:szCs w:val="20"/>
        </w:rPr>
        <w:t xml:space="preserve">  Once all IEP’s have been entered, the assets should increase.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826F0F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 Audit</w:t>
      </w:r>
      <w:r w:rsidR="00665E16" w:rsidRPr="00917147">
        <w:rPr>
          <w:rFonts w:ascii="Arial" w:hAnsi="Arial"/>
          <w:i/>
          <w:iCs/>
          <w:sz w:val="20"/>
          <w:szCs w:val="20"/>
        </w:rPr>
        <w:t xml:space="preserve"> </w:t>
      </w:r>
      <w:r w:rsidR="00665E16" w:rsidRPr="00917147">
        <w:rPr>
          <w:rFonts w:ascii="Arial" w:hAnsi="Arial"/>
          <w:b/>
          <w:i/>
          <w:iCs/>
          <w:sz w:val="20"/>
          <w:szCs w:val="20"/>
        </w:rPr>
        <w:t xml:space="preserve">– </w:t>
      </w:r>
      <w:r w:rsidR="00665E16">
        <w:rPr>
          <w:rFonts w:ascii="Arial" w:hAnsi="Arial"/>
          <w:i/>
          <w:iCs/>
          <w:sz w:val="20"/>
          <w:szCs w:val="20"/>
        </w:rPr>
        <w:t xml:space="preserve">The </w:t>
      </w:r>
      <w:r>
        <w:rPr>
          <w:rFonts w:ascii="Arial" w:hAnsi="Arial"/>
          <w:i/>
          <w:iCs/>
          <w:sz w:val="20"/>
          <w:szCs w:val="20"/>
        </w:rPr>
        <w:t>FY17 audit process has begun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Details will be shared as they become available.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718" w:type="dxa"/>
          </w:tcPr>
          <w:p w:rsidR="00ED3EE4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617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952BF4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November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November</w:t>
      </w:r>
      <w:r w:rsidR="003F2ACF">
        <w:rPr>
          <w:szCs w:val="18"/>
        </w:rPr>
        <w:t xml:space="preserve"> 30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>
        <w:rPr>
          <w:szCs w:val="18"/>
        </w:rPr>
        <w:t>606,047</w:t>
      </w:r>
      <w:r w:rsidR="008A042E">
        <w:rPr>
          <w:szCs w:val="18"/>
        </w:rPr>
        <w:t>. The ending bank statement balance was $</w:t>
      </w:r>
      <w:r>
        <w:rPr>
          <w:szCs w:val="18"/>
        </w:rPr>
        <w:t>215,236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416,527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>
        <w:rPr>
          <w:szCs w:val="18"/>
        </w:rPr>
        <w:t>25,716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52896981"/>
    <w:bookmarkStart w:id="88" w:name="_MON_1355836036"/>
    <w:bookmarkStart w:id="89" w:name="_MON_1355836071"/>
    <w:bookmarkStart w:id="90" w:name="_MON_1358322759"/>
    <w:bookmarkStart w:id="91" w:name="_MON_1389611601"/>
    <w:bookmarkStart w:id="92" w:name="_MON_1360565057"/>
    <w:bookmarkStart w:id="93" w:name="_MON_1405328219"/>
    <w:bookmarkStart w:id="94" w:name="_MON_1363415981"/>
    <w:bookmarkStart w:id="95" w:name="_MON_1365946151"/>
    <w:bookmarkStart w:id="96" w:name="_MON_1368952048"/>
    <w:bookmarkStart w:id="97" w:name="_MON_1371534747"/>
    <w:bookmarkStart w:id="98" w:name="_MON_1392188817"/>
    <w:bookmarkStart w:id="99" w:name="_MON_1371619457"/>
    <w:bookmarkStart w:id="100" w:name="_MON_1408296369"/>
    <w:bookmarkStart w:id="101" w:name="_MON_1373782120"/>
    <w:bookmarkStart w:id="102" w:name="_MON_1373785350"/>
    <w:bookmarkStart w:id="103" w:name="_MON_1345032435"/>
    <w:bookmarkStart w:id="104" w:name="_MON_1376398043"/>
    <w:bookmarkStart w:id="105" w:name="_MON_1345032534"/>
    <w:bookmarkStart w:id="106" w:name="_MON_1345032757"/>
    <w:bookmarkStart w:id="107" w:name="_MON_1410324795"/>
    <w:bookmarkStart w:id="108" w:name="_MON_1345032811"/>
    <w:bookmarkStart w:id="109" w:name="_MON_1410675900"/>
    <w:bookmarkStart w:id="110" w:name="_MON_1394883084"/>
    <w:bookmarkStart w:id="111" w:name="_MON_1379227322"/>
    <w:bookmarkStart w:id="112" w:name="_MON_1345032821"/>
    <w:bookmarkStart w:id="113" w:name="_MON_1379231083"/>
    <w:bookmarkStart w:id="114" w:name="_MON_1345032841"/>
    <w:bookmarkStart w:id="115" w:name="_MON_1397296629"/>
    <w:bookmarkStart w:id="116" w:name="_MON_1345032877"/>
    <w:bookmarkStart w:id="117" w:name="_MON_1345033034"/>
    <w:bookmarkStart w:id="118" w:name="_MON_1397393106"/>
    <w:bookmarkStart w:id="119" w:name="_MON_1345033072"/>
    <w:bookmarkStart w:id="120" w:name="_MON_1345033194"/>
    <w:bookmarkStart w:id="121" w:name="_MON_1381755720"/>
    <w:bookmarkStart w:id="122" w:name="_MON_1345033300"/>
    <w:bookmarkStart w:id="123" w:name="_MON_1345033336"/>
    <w:bookmarkStart w:id="124" w:name="_MON_1345033429"/>
    <w:bookmarkStart w:id="125" w:name="_MON_1400063784"/>
    <w:bookmarkStart w:id="126" w:name="_MON_1345033470"/>
    <w:bookmarkStart w:id="127" w:name="_MON_1345359827"/>
    <w:bookmarkStart w:id="128" w:name="_MON_1347782300"/>
    <w:bookmarkStart w:id="129" w:name="_MON_1350213069"/>
    <w:bookmarkStart w:id="130" w:name="_MON_1350213116"/>
    <w:bookmarkStart w:id="131" w:name="_MON_1387282600"/>
    <w:bookmarkStart w:id="132" w:name="_MON_1352896949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402811353"/>
    <w:bookmarkEnd w:id="133"/>
    <w:p w:rsidR="008A042E" w:rsidRDefault="00952BF4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43131219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7E71FB">
        <w:rPr>
          <w:rFonts w:ascii="Arial" w:hAnsi="Arial" w:cs="Arial"/>
          <w:i/>
          <w:iCs/>
          <w:sz w:val="18"/>
        </w:rPr>
        <w:t xml:space="preserve"> September</w:t>
      </w:r>
      <w:r w:rsidR="00952BF4">
        <w:rPr>
          <w:rFonts w:ascii="Arial" w:hAnsi="Arial" w:cs="Arial"/>
          <w:i/>
          <w:iCs/>
          <w:sz w:val="18"/>
        </w:rPr>
        <w:t>,</w:t>
      </w:r>
      <w:r w:rsidR="006E6935">
        <w:rPr>
          <w:rFonts w:ascii="Arial" w:hAnsi="Arial" w:cs="Arial"/>
          <w:i/>
          <w:iCs/>
          <w:sz w:val="18"/>
        </w:rPr>
        <w:t xml:space="preserve"> October </w:t>
      </w:r>
      <w:r w:rsidR="00952BF4">
        <w:rPr>
          <w:rFonts w:ascii="Arial" w:hAnsi="Arial" w:cs="Arial"/>
          <w:i/>
          <w:iCs/>
          <w:sz w:val="18"/>
        </w:rPr>
        <w:t xml:space="preserve">&amp; November </w:t>
      </w:r>
      <w:r w:rsidR="002A5108" w:rsidRPr="002A5108">
        <w:rPr>
          <w:rFonts w:ascii="Arial" w:hAnsi="Arial" w:cs="Arial"/>
          <w:i/>
          <w:iCs/>
          <w:sz w:val="18"/>
        </w:rPr>
        <w:t>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6E6935">
        <w:rPr>
          <w:rFonts w:ascii="Arial" w:hAnsi="Arial" w:cs="Arial"/>
          <w:i/>
          <w:iCs/>
          <w:sz w:val="18"/>
        </w:rPr>
        <w:t>November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6E6935">
        <w:rPr>
          <w:rFonts w:ascii="Arial" w:hAnsi="Arial" w:cs="Arial"/>
          <w:i/>
          <w:iCs/>
          <w:sz w:val="18"/>
        </w:rPr>
        <w:t>7</w:t>
      </w:r>
      <w:r w:rsidR="006529AD">
        <w:rPr>
          <w:rFonts w:ascii="Arial" w:hAnsi="Arial" w:cs="Arial"/>
          <w:i/>
          <w:iCs/>
          <w:sz w:val="18"/>
        </w:rPr>
        <w:t>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6C3A83" w:rsidRPr="00B603EA">
        <w:rPr>
          <w:rFonts w:ascii="Arial" w:hAnsi="Arial" w:cs="Arial"/>
          <w:i/>
          <w:iCs/>
          <w:sz w:val="18"/>
        </w:rPr>
        <w:t>6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481CC8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5E8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B205E8" w:rsidRDefault="003F2ACF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October</w:t>
                            </w:r>
                            <w:r w:rsidR="00B205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&amp; November </w:t>
                            </w:r>
                            <w:r w:rsidR="00B205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Draft 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B205E8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B205E8" w:rsidRDefault="003F2ACF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October</w:t>
                      </w:r>
                      <w:r w:rsidR="00B205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&amp; November </w:t>
                      </w:r>
                      <w:r w:rsidR="00B205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2016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Draft 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-16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32069084"/>
    <w:bookmarkStart w:id="135" w:name="_MON_1332069211"/>
    <w:bookmarkStart w:id="136" w:name="_MON_1334576449"/>
    <w:bookmarkStart w:id="137" w:name="_MON_1334576497"/>
    <w:bookmarkStart w:id="138" w:name="_MON_1336998877"/>
    <w:bookmarkStart w:id="139" w:name="_MON_1337000057"/>
    <w:bookmarkStart w:id="140" w:name="_MON_1337000197"/>
    <w:bookmarkStart w:id="141" w:name="_MON_1340021161"/>
    <w:bookmarkStart w:id="142" w:name="_MON_1340021341"/>
    <w:bookmarkStart w:id="143" w:name="_MON_1340021448"/>
    <w:bookmarkStart w:id="144" w:name="_MON_1340021784"/>
    <w:bookmarkStart w:id="145" w:name="_MON_1340024679"/>
    <w:bookmarkStart w:id="146" w:name="_MON_1342423467"/>
    <w:bookmarkStart w:id="147" w:name="_MON_1342423759"/>
    <w:bookmarkStart w:id="148" w:name="_MON_1345030905"/>
    <w:bookmarkStart w:id="149" w:name="_MON_1345030931"/>
    <w:bookmarkStart w:id="150" w:name="_MON_1345030985"/>
    <w:bookmarkStart w:id="151" w:name="_MON_1345030998"/>
    <w:bookmarkStart w:id="152" w:name="_MON_1345031721"/>
    <w:bookmarkStart w:id="153" w:name="_MON_1345031811"/>
    <w:bookmarkStart w:id="154" w:name="_MON_1345031955"/>
    <w:bookmarkStart w:id="155" w:name="_MON_1345033813"/>
    <w:bookmarkStart w:id="156" w:name="_MON_1345033883"/>
    <w:bookmarkStart w:id="157" w:name="_MON_1345034142"/>
    <w:bookmarkStart w:id="158" w:name="_MON_1345034198"/>
    <w:bookmarkStart w:id="159" w:name="_MON_1345034217"/>
    <w:bookmarkStart w:id="160" w:name="_MON_1345360107"/>
    <w:bookmarkStart w:id="161" w:name="_MON_1347782576"/>
    <w:bookmarkStart w:id="162" w:name="_MON_1350213376"/>
    <w:bookmarkStart w:id="163" w:name="_MON_1352897775"/>
    <w:bookmarkStart w:id="164" w:name="_MON_1352897841"/>
    <w:bookmarkStart w:id="165" w:name="_MON_1355836796"/>
    <w:bookmarkStart w:id="166" w:name="_MON_1355836801"/>
    <w:bookmarkStart w:id="167" w:name="_MON_1355836891"/>
    <w:bookmarkStart w:id="168" w:name="_MON_1356163419"/>
    <w:bookmarkStart w:id="169" w:name="_MON_1358323337"/>
    <w:bookmarkStart w:id="170" w:name="_MON_1358323393"/>
    <w:bookmarkStart w:id="171" w:name="_MON_1360565979"/>
    <w:bookmarkStart w:id="172" w:name="_MON_1363416379"/>
    <w:bookmarkStart w:id="173" w:name="_MON_1365946580"/>
    <w:bookmarkStart w:id="174" w:name="_MON_1365946650"/>
    <w:bookmarkStart w:id="175" w:name="_MON_1365946739"/>
    <w:bookmarkStart w:id="176" w:name="_MON_1368952412"/>
    <w:bookmarkStart w:id="177" w:name="_MON_1371538750"/>
    <w:bookmarkStart w:id="178" w:name="_MON_1371538782"/>
    <w:bookmarkStart w:id="179" w:name="_MON_1371538867"/>
    <w:bookmarkStart w:id="180" w:name="_MON_1371538873"/>
    <w:bookmarkStart w:id="181" w:name="_MON_1371539372"/>
    <w:bookmarkStart w:id="182" w:name="_MON_1371539678"/>
    <w:bookmarkStart w:id="183" w:name="_MON_1371539824"/>
    <w:bookmarkStart w:id="184" w:name="_MON_1371539850"/>
    <w:bookmarkStart w:id="185" w:name="_MON_1371540447"/>
    <w:bookmarkStart w:id="186" w:name="_MON_1371540481"/>
    <w:bookmarkStart w:id="187" w:name="_MON_1371540493"/>
    <w:bookmarkStart w:id="188" w:name="_MON_1371546262"/>
    <w:bookmarkStart w:id="189" w:name="_MON_1371558943"/>
    <w:bookmarkStart w:id="190" w:name="_MON_1371620373"/>
    <w:bookmarkStart w:id="191" w:name="_MON_1373786429"/>
    <w:bookmarkStart w:id="192" w:name="_MON_1373788016"/>
    <w:bookmarkStart w:id="193" w:name="_MON_1373788037"/>
    <w:bookmarkStart w:id="194" w:name="_MON_1373789671"/>
    <w:bookmarkStart w:id="195" w:name="_MON_1279887336"/>
    <w:bookmarkStart w:id="196" w:name="_MON_1376398741"/>
    <w:bookmarkStart w:id="197" w:name="_MON_1282851423"/>
    <w:bookmarkStart w:id="198" w:name="_MON_1282851461"/>
    <w:bookmarkStart w:id="199" w:name="_MON_1282851478"/>
    <w:bookmarkStart w:id="200" w:name="_MON_1379229005"/>
    <w:bookmarkStart w:id="201" w:name="_MON_1282851553"/>
    <w:bookmarkStart w:id="202" w:name="_MON_1282851807"/>
    <w:bookmarkStart w:id="203" w:name="_MON_1379240958"/>
    <w:bookmarkStart w:id="204" w:name="_MON_1284573461"/>
    <w:bookmarkStart w:id="205" w:name="_MON_1284573580"/>
    <w:bookmarkStart w:id="206" w:name="_MON_1285440971"/>
    <w:bookmarkStart w:id="207" w:name="_MON_1285440993"/>
    <w:bookmarkStart w:id="208" w:name="_MON_1381756388"/>
    <w:bookmarkStart w:id="209" w:name="_MON_1381756417"/>
    <w:bookmarkStart w:id="210" w:name="_MON_1381756427"/>
    <w:bookmarkStart w:id="211" w:name="_MON_1381756841"/>
    <w:bookmarkStart w:id="212" w:name="_MON_1285441087"/>
    <w:bookmarkStart w:id="213" w:name="_MON_1287487047"/>
    <w:bookmarkStart w:id="214" w:name="_MON_1384405279"/>
    <w:bookmarkStart w:id="215" w:name="_MON_1289814010"/>
    <w:bookmarkStart w:id="216" w:name="_MON_1290069362"/>
    <w:bookmarkStart w:id="217" w:name="_MON_1290070161"/>
    <w:bookmarkStart w:id="218" w:name="_MON_1290070185"/>
    <w:bookmarkStart w:id="219" w:name="_MON_1290070216"/>
    <w:bookmarkStart w:id="220" w:name="_MON_1292915406"/>
    <w:bookmarkStart w:id="221" w:name="_MON_1387283920"/>
    <w:bookmarkStart w:id="222" w:name="_MON_1292916507"/>
    <w:bookmarkStart w:id="223" w:name="_MON_1293346964"/>
    <w:bookmarkStart w:id="224" w:name="_MON_1295415494"/>
    <w:bookmarkStart w:id="225" w:name="_MON_1295415694"/>
    <w:bookmarkStart w:id="226" w:name="_MON_1295698703"/>
    <w:bookmarkStart w:id="227" w:name="_MON_1389612346"/>
    <w:bookmarkStart w:id="228" w:name="_MON_1297758116"/>
    <w:bookmarkStart w:id="229" w:name="_MON_1297758215"/>
    <w:bookmarkStart w:id="230" w:name="_MON_1297924284"/>
    <w:bookmarkStart w:id="231" w:name="_MON_1300516506"/>
    <w:bookmarkStart w:id="232" w:name="_MON_1300516590"/>
    <w:bookmarkStart w:id="233" w:name="_MON_1392189523"/>
    <w:bookmarkStart w:id="234" w:name="_MON_1302677264"/>
    <w:bookmarkStart w:id="235" w:name="_MON_1302677306"/>
    <w:bookmarkStart w:id="236" w:name="_MON_1302980692"/>
    <w:bookmarkStart w:id="237" w:name="_MON_1302980923"/>
    <w:bookmarkStart w:id="238" w:name="_MON_1302980937"/>
    <w:bookmarkStart w:id="239" w:name="_MON_1302981053"/>
    <w:bookmarkStart w:id="240" w:name="_MON_1302982409"/>
    <w:bookmarkStart w:id="241" w:name="_MON_1305448599"/>
    <w:bookmarkStart w:id="242" w:name="_MON_1394883399"/>
    <w:bookmarkStart w:id="243" w:name="_MON_1394883445"/>
    <w:bookmarkStart w:id="244" w:name="_MON_1305448621"/>
    <w:bookmarkStart w:id="245" w:name="_MON_1305448794"/>
    <w:bookmarkStart w:id="246" w:name="_MON_1306170375"/>
    <w:bookmarkStart w:id="247" w:name="_MON_1306170761"/>
    <w:bookmarkStart w:id="248" w:name="_MON_1306170890"/>
    <w:bookmarkStart w:id="249" w:name="_MON_1397297331"/>
    <w:bookmarkStart w:id="250" w:name="_MON_1306170904"/>
    <w:bookmarkStart w:id="251" w:name="_MON_1397392836"/>
    <w:bookmarkStart w:id="252" w:name="_MON_1306170915"/>
    <w:bookmarkStart w:id="253" w:name="_MON_1397455573"/>
    <w:bookmarkStart w:id="254" w:name="_MON_1306171081"/>
    <w:bookmarkStart w:id="255" w:name="_MON_1306171135"/>
    <w:bookmarkStart w:id="256" w:name="_MON_1306171201"/>
    <w:bookmarkStart w:id="257" w:name="_MON_1308731098"/>
    <w:bookmarkStart w:id="258" w:name="_MON_1309197147"/>
    <w:bookmarkStart w:id="259" w:name="_MON_1400063460"/>
    <w:bookmarkStart w:id="260" w:name="_MON_1309197337"/>
    <w:bookmarkStart w:id="261" w:name="_MON_1309197347"/>
    <w:bookmarkStart w:id="262" w:name="_MON_1309197443"/>
    <w:bookmarkStart w:id="263" w:name="_MON_1310907360"/>
    <w:bookmarkStart w:id="264" w:name="_MON_1310907614"/>
    <w:bookmarkStart w:id="265" w:name="_MON_1310972922"/>
    <w:bookmarkStart w:id="266" w:name="_MON_1310976061"/>
    <w:bookmarkStart w:id="267" w:name="_MON_1402812325"/>
    <w:bookmarkStart w:id="268" w:name="_MON_1310976189"/>
    <w:bookmarkStart w:id="269" w:name="_MON_1310987176"/>
    <w:bookmarkStart w:id="270" w:name="_MON_1310987302"/>
    <w:bookmarkStart w:id="271" w:name="_MON_1313411617"/>
    <w:bookmarkStart w:id="272" w:name="_MON_1313411699"/>
    <w:bookmarkStart w:id="273" w:name="_MON_1313411722"/>
    <w:bookmarkStart w:id="274" w:name="_MON_1405331812"/>
    <w:bookmarkStart w:id="275" w:name="_MON_1313411760"/>
    <w:bookmarkStart w:id="276" w:name="_MON_1313412226"/>
    <w:bookmarkStart w:id="277" w:name="_MON_1316266128"/>
    <w:bookmarkStart w:id="278" w:name="_MON_1318915969"/>
    <w:bookmarkStart w:id="279" w:name="_MON_1318916102"/>
    <w:bookmarkStart w:id="280" w:name="_MON_1321780444"/>
    <w:bookmarkStart w:id="281" w:name="_MON_1408297730"/>
    <w:bookmarkStart w:id="282" w:name="_MON_1322047007"/>
    <w:bookmarkStart w:id="283" w:name="_MON_1324554754"/>
    <w:bookmarkStart w:id="284" w:name="_MON_1324554842"/>
    <w:bookmarkStart w:id="285" w:name="_MON_1324556081"/>
    <w:bookmarkStart w:id="286" w:name="_MON_1326722270"/>
    <w:bookmarkStart w:id="287" w:name="_MON_1329115685"/>
    <w:bookmarkStart w:id="288" w:name="_MON_1410324886"/>
    <w:bookmarkStart w:id="289" w:name="_MON_1329115719"/>
    <w:bookmarkStart w:id="290" w:name="_MON_1410673011"/>
    <w:bookmarkStart w:id="291" w:name="_MON_1410674581"/>
    <w:bookmarkStart w:id="292" w:name="_MON_1410674815"/>
    <w:bookmarkStart w:id="293" w:name="_MON_1329115827"/>
    <w:bookmarkStart w:id="294" w:name="_MON_1329116452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29213879"/>
    <w:bookmarkEnd w:id="295"/>
    <w:p w:rsidR="000D5D33" w:rsidRDefault="00EA23BB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01" w:dyaOrig="7505">
          <v:shape id="_x0000_i1026" type="#_x0000_t75" style="width:401.25pt;height:387.75pt" o:ole="">
            <v:imagedata r:id="rId12" o:title=""/>
          </v:shape>
          <o:OLEObject Type="Embed" ProgID="Excel.Sheet.8" ShapeID="_x0000_i1026" DrawAspect="Content" ObjectID="_1543131220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481CC8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952BF4">
      <w:rPr>
        <w:rFonts w:ascii="Arial" w:hAnsi="Arial" w:cs="Arial"/>
        <w:b/>
        <w:i/>
        <w:sz w:val="16"/>
        <w:szCs w:val="16"/>
      </w:rPr>
      <w:t>12</w:t>
    </w:r>
    <w:r w:rsidR="0000557B">
      <w:rPr>
        <w:rFonts w:ascii="Arial" w:hAnsi="Arial" w:cs="Arial"/>
        <w:b/>
        <w:i/>
        <w:sz w:val="16"/>
        <w:szCs w:val="16"/>
      </w:rPr>
      <w:t>/</w:t>
    </w:r>
    <w:r w:rsidR="00812997">
      <w:rPr>
        <w:rFonts w:ascii="Arial" w:hAnsi="Arial" w:cs="Arial"/>
        <w:b/>
        <w:i/>
        <w:sz w:val="16"/>
        <w:szCs w:val="16"/>
      </w:rPr>
      <w:t>0</w:t>
    </w:r>
    <w:r w:rsidR="00952BF4">
      <w:rPr>
        <w:rFonts w:ascii="Arial" w:hAnsi="Arial" w:cs="Arial"/>
        <w:b/>
        <w:i/>
        <w:sz w:val="16"/>
        <w:szCs w:val="16"/>
      </w:rPr>
      <w:t>5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5705C062" wp14:editId="12B264A5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952BF4">
      <w:rPr>
        <w:rFonts w:ascii="Garamond" w:hAnsi="Garamond" w:cs="Arial"/>
        <w:b/>
        <w:bCs/>
        <w:sz w:val="32"/>
        <w:szCs w:val="32"/>
      </w:rPr>
      <w:t>November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1CC8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  <c:pt idx="3">
                  <c:v>57.65</c:v>
                </c:pt>
                <c:pt idx="4">
                  <c:v>20.090000000000003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  <c:pt idx="3">
                  <c:v>3</c:v>
                </c:pt>
                <c:pt idx="4">
                  <c:v>4.54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  <c:pt idx="3">
                  <c:v>1.17</c:v>
                </c:pt>
                <c:pt idx="4" formatCode="0.00">
                  <c:v>37.479999999999997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994176"/>
        <c:axId val="194996864"/>
      </c:barChart>
      <c:catAx>
        <c:axId val="19499417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4996864"/>
        <c:crosses val="autoZero"/>
        <c:auto val="1"/>
        <c:lblAlgn val="ctr"/>
        <c:lblOffset val="100"/>
        <c:noMultiLvlLbl val="0"/>
      </c:catAx>
      <c:valAx>
        <c:axId val="194996864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499417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B112-E9E3-4A90-A911-E3FAF3E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2016-12-13T15:47:00Z</dcterms:created>
  <dcterms:modified xsi:type="dcterms:W3CDTF">2016-12-13T15:47:00Z</dcterms:modified>
</cp:coreProperties>
</file>